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97"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960" w:right="38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GraniteShares 3x Short Tesla Daily ETP Key Information Document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122555</wp:posOffset>
            </wp:positionV>
            <wp:extent cx="5995035" cy="2286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5995035" cy="228600"/>
                    </a:xfrm>
                    <a:prstGeom prst="rect">
                      <a:avLst/>
                    </a:prstGeom>
                    <a:noFill/>
                  </pic:spPr>
                </pic:pic>
              </a:graphicData>
            </a:graphic>
          </wp:anchor>
        </w:drawing>
      </w:r>
    </w:p>
    <w:p>
      <w:pPr>
        <w:spacing w:after="0" w:line="228"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Zweck</w:t>
      </w:r>
    </w:p>
    <w:p>
      <w:pPr>
        <w:spacing w:after="0" w:line="218" w:lineRule="exact"/>
        <w:rPr>
          <w:sz w:val="24"/>
          <w:szCs w:val="24"/>
          <w:color w:val="auto"/>
        </w:rPr>
      </w:pPr>
    </w:p>
    <w:p>
      <w:pPr xmlns:w="http://schemas.openxmlformats.org/wordprocessingml/2006/main">
        <w:ind w:left="120" w:right="420"/>
        <w:spacing w:after="0" w:line="299" w:lineRule="auto"/>
        <w:rPr>
          <w:sz w:val="20"/>
          <w:szCs w:val="20"/>
          <w:color w:val="auto"/>
        </w:rPr>
      </w:pPr>
      <w:r>
        <w:rPr xmlns:w="http://schemas.openxmlformats.org/wordprocessingml/2006/main">
          <w:rFonts w:ascii="Arial" w:cs="Arial" w:eastAsia="Arial" w:hAnsi="Arial"/>
          <w:sz w:val="18"/>
          <w:szCs w:val="18"/>
          <w:color w:val="auto"/>
        </w:rPr>
        <w:t xml:space="preserve">Dieses Dokument enthält die wichtigsten Informationen zu diesem Anlageprodukt.</w:t>
      </w:r>
      <w:r>
        <w:rPr xmlns:w="http://schemas.openxmlformats.org/wordprocessingml/2006/main">
          <w:rFonts w:ascii="Arial" w:cs="Arial" w:eastAsia="Arial" w:hAnsi="Arial"/>
          <w:sz w:val="18"/>
          <w:szCs w:val="18"/>
          <w:color w:val="auto"/>
        </w:rPr>
        <w:t xml:space="preserve"> Es ist kein Marketingmaterial.</w:t>
      </w:r>
      <w:r>
        <w:rPr xmlns:w="http://schemas.openxmlformats.org/wordprocessingml/2006/main">
          <w:rFonts w:ascii="Arial" w:cs="Arial" w:eastAsia="Arial" w:hAnsi="Arial"/>
          <w:sz w:val="18"/>
          <w:szCs w:val="18"/>
          <w:color w:val="auto"/>
        </w:rPr>
        <w:t xml:space="preserve"> Die Informationen sind gesetzlich vorgeschrieben, damit Sie die Art, die Risiken, die Kosten, die potenziellen Gewinne und Verluste dieses Produkts besser verstehen und es mit anderen Produkten vergleichen können.</w:t>
      </w:r>
    </w:p>
    <w:p>
      <w:pPr>
        <w:spacing w:after="0" w:line="81"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Sie sind im Begriff, ein Produkt zu kaufen, das nicht einfach ist und möglicherweise schwer zu verstehen ist.</w:t>
      </w:r>
    </w:p>
    <w:p>
      <w:pPr>
        <w:spacing w:after="0" w:line="160"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Produkt</w:t>
      </w:r>
    </w:p>
    <w:p>
      <w:pPr>
        <w:spacing w:after="0" w:line="158"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GraniteShares 3x Short Tesla Daily ETP</w:t>
      </w:r>
    </w:p>
    <w:p>
      <w:pPr>
        <w:spacing w:after="0" w:line="141"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PRIIP Hersteller:</w:t>
      </w:r>
      <w:r>
        <w:rPr xmlns:w="http://schemas.openxmlformats.org/wordprocessingml/2006/main">
          <w:rFonts w:ascii="Arial" w:cs="Arial" w:eastAsia="Arial" w:hAnsi="Arial"/>
          <w:sz w:val="18"/>
          <w:szCs w:val="18"/>
          <w:color w:val="auto"/>
        </w:rPr>
        <w:t xml:space="preserve"> GraniteShares Financial Plc</w:t>
        <w:tab xmlns:w="http://schemas.openxmlformats.org/wordprocessingml/2006/main"/>
      </w:r>
      <w:r>
        <w:rPr xmlns:w="http://schemas.openxmlformats.org/wordprocessingml/2006/main">
          <w:rFonts w:ascii="Arial" w:cs="Arial" w:eastAsia="Arial" w:hAnsi="Arial"/>
          <w:sz w:val="18"/>
          <w:szCs w:val="18"/>
          <w:b w:val="1"/>
          <w:bCs w:val="1"/>
          <w:color w:val="auto"/>
        </w:rPr>
        <w:t xml:space="preserve">Telefonnummer:</w:t>
      </w:r>
      <w:r>
        <w:rPr xmlns:w="http://schemas.openxmlformats.org/wordprocessingml/2006/main">
          <w:rFonts w:ascii="Arial" w:cs="Arial" w:eastAsia="Arial" w:hAnsi="Arial"/>
          <w:sz w:val="18"/>
          <w:szCs w:val="18"/>
          <w:color w:val="auto"/>
        </w:rPr>
        <w:t xml:space="preserve"> +44 (0)20 3950 1442</w:t>
      </w:r>
    </w:p>
    <w:p>
      <w:pPr>
        <w:spacing w:after="0" w:line="80"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ISIN:</w:t>
      </w:r>
      <w:r>
        <w:rPr xmlns:w="http://schemas.openxmlformats.org/wordprocessingml/2006/main">
          <w:rFonts w:ascii="Arial" w:cs="Arial" w:eastAsia="Arial" w:hAnsi="Arial"/>
          <w:sz w:val="18"/>
          <w:szCs w:val="18"/>
          <w:color w:val="auto"/>
        </w:rPr>
        <w:t xml:space="preserve"> XS2193972671</w:t>
        <w:tab xmlns:w="http://schemas.openxmlformats.org/wordprocessingml/2006/main"/>
      </w:r>
      <w:r>
        <w:rPr xmlns:w="http://schemas.openxmlformats.org/wordprocessingml/2006/main">
          <w:rFonts w:ascii="Arial" w:cs="Arial" w:eastAsia="Arial" w:hAnsi="Arial"/>
          <w:sz w:val="18"/>
          <w:szCs w:val="18"/>
          <w:b w:val="1"/>
          <w:bCs w:val="1"/>
          <w:color w:val="auto"/>
        </w:rPr>
        <w:t xml:space="preserve">Website:</w:t>
      </w:r>
      <w:r>
        <w:rPr xmlns:w="http://schemas.openxmlformats.org/wordprocessingml/2006/main">
          <w:rFonts w:ascii="Arial" w:cs="Arial" w:eastAsia="Arial" w:hAnsi="Arial"/>
          <w:sz w:val="18"/>
          <w:szCs w:val="18"/>
          <w:color w:val="auto"/>
        </w:rPr>
        <w:t xml:space="preserve"> https://www.graniteshares.com/ETPs</w:t>
      </w:r>
    </w:p>
    <w:p>
      <w:pPr>
        <w:spacing w:after="0" w:line="76"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Regulierungsbehörde:</w:t>
      </w:r>
      <w:r>
        <w:rPr xmlns:w="http://schemas.openxmlformats.org/wordprocessingml/2006/main">
          <w:rFonts w:ascii="Arial" w:cs="Arial" w:eastAsia="Arial" w:hAnsi="Arial"/>
          <w:sz w:val="18"/>
          <w:szCs w:val="18"/>
          <w:color w:val="auto"/>
        </w:rPr>
        <w:t xml:space="preserve"> Central Bank of Ireland</w:t>
        <w:tab xmlns:w="http://schemas.openxmlformats.org/wordprocessingml/2006/main"/>
      </w:r>
      <w:r>
        <w:rPr xmlns:w="http://schemas.openxmlformats.org/wordprocessingml/2006/main">
          <w:rFonts w:ascii="Arial" w:cs="Arial" w:eastAsia="Arial" w:hAnsi="Arial"/>
          <w:sz w:val="18"/>
          <w:szCs w:val="18"/>
          <w:b w:val="1"/>
          <w:bCs w:val="1"/>
          <w:color w:val="auto"/>
        </w:rPr>
        <w:t xml:space="preserve">Veröffentlichungsdatum: 9. Januar 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58420</wp:posOffset>
            </wp:positionV>
            <wp:extent cx="6241415" cy="2286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241415" cy="228600"/>
                    </a:xfrm>
                    <a:prstGeom prst="rect">
                      <a:avLst/>
                    </a:prstGeom>
                    <a:noFill/>
                  </pic:spPr>
                </pic:pic>
              </a:graphicData>
            </a:graphic>
          </wp:anchor>
        </w:drawing>
      </w:r>
    </w:p>
    <w:p>
      <w:pPr>
        <w:spacing w:after="0" w:line="126"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Was ist dieses Produkt?</w:t>
      </w:r>
    </w:p>
    <w:p>
      <w:pPr>
        <w:spacing w:after="0" w:line="237" w:lineRule="exact"/>
        <w:rPr>
          <w:sz w:val="24"/>
          <w:szCs w:val="24"/>
          <w:color w:val="auto"/>
        </w:rPr>
      </w:pPr>
    </w:p>
    <w:tbl>
      <w:tblPr>
        <w:tblLayout w:type="fixed"/>
        <w:tblInd w:w="10" w:type="dxa"/>
        <w:tblCellMar>
          <w:top w:w="0" w:type="dxa"/>
          <w:left w:w="0" w:type="dxa"/>
          <w:bottom w:w="0" w:type="dxa"/>
          <w:right w:w="0" w:type="dxa"/>
        </w:tblCellMar>
      </w:tblPr>
      <w:tr>
        <w:trPr>
          <w:trHeight w:val="289"/>
        </w:trPr>
        <w:tc>
          <w:tcPr>
            <w:tcW w:w="1160" w:type="dxa"/>
            <w:vAlign w:val="bottom"/>
            <w:tcBorders>
              <w:top w:val="single" w:sz="8" w:color="7F7F7F"/>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Typ</w:t>
            </w:r>
          </w:p>
        </w:tc>
        <w:tc>
          <w:tcPr>
            <w:tcW w:w="8720" w:type="dxa"/>
            <w:vAlign w:val="bottom"/>
            <w:tcBorders>
              <w:top w:val="single" w:sz="8" w:color="7F7F7F"/>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Collateralized Exchange Traded Product ("ETP") Wertpapiere</w:t>
            </w:r>
          </w:p>
        </w:tc>
      </w:tr>
      <w:tr>
        <w:trPr>
          <w:trHeight w:val="61"/>
        </w:trPr>
        <w:tc>
          <w:tcPr>
            <w:tcW w:w="1160" w:type="dxa"/>
            <w:vAlign w:val="bottom"/>
            <w:tcBorders>
              <w:left w:val="single" w:sz="8" w:color="7F7F7F"/>
              <w:bottom w:val="single" w:sz="8" w:color="7F7F7F"/>
              <w:right w:val="single" w:sz="8" w:color="7F7F7F"/>
            </w:tcBorders>
          </w:tcPr>
          <w:p>
            <w:pPr>
              <w:spacing w:after="0"/>
              <w:rPr>
                <w:sz w:val="5"/>
                <w:szCs w:val="5"/>
                <w:color w:val="auto"/>
              </w:rPr>
            </w:pPr>
          </w:p>
        </w:tc>
        <w:tc>
          <w:tcPr>
            <w:tcW w:w="8720" w:type="dxa"/>
            <w:vAlign w:val="bottom"/>
            <w:tcBorders>
              <w:bottom w:val="single" w:sz="8" w:color="7F7F7F"/>
              <w:right w:val="single" w:sz="8" w:color="7F7F7F"/>
            </w:tcBorders>
          </w:tcPr>
          <w:p>
            <w:pPr>
              <w:spacing w:after="0"/>
              <w:rPr>
                <w:sz w:val="5"/>
                <w:szCs w:val="5"/>
                <w:color w:val="auto"/>
              </w:rPr>
            </w:pPr>
          </w:p>
        </w:tc>
      </w:tr>
      <w:tr>
        <w:trPr>
          <w:trHeight w:val="196"/>
        </w:trPr>
        <w:tc>
          <w:tcPr>
            <w:tcW w:w="1160" w:type="dxa"/>
            <w:vAlign w:val="bottom"/>
            <w:tcBorders>
              <w:left w:val="single" w:sz="8" w:color="7F7F7F"/>
              <w:right w:val="single" w:sz="8" w:color="7F7F7F"/>
            </w:tcBorders>
          </w:tcPr>
          <w:p>
            <w:pPr>
              <w:spacing w:after="0"/>
              <w:rPr>
                <w:sz w:val="17"/>
                <w:szCs w:val="17"/>
                <w:color w:val="auto"/>
              </w:rPr>
            </w:pPr>
          </w:p>
        </w:tc>
        <w:tc>
          <w:tcPr>
            <w:tcW w:w="8720" w:type="dxa"/>
            <w:vAlign w:val="bottom"/>
            <w:tcBorders>
              <w:right w:val="single" w:sz="8" w:color="7F7F7F"/>
            </w:tcBorders>
          </w:tcPr>
          <w:p>
            <w:pPr xmlns:w="http://schemas.openxmlformats.org/wordprocessingml/2006/main">
              <w:ind w:left="80"/>
              <w:spacing w:after="0" w:line="195" w:lineRule="exact"/>
              <w:rPr>
                <w:sz w:val="20"/>
                <w:szCs w:val="20"/>
                <w:color w:val="auto"/>
              </w:rPr>
            </w:pPr>
            <w:r>
              <w:rPr xmlns:w="http://schemas.openxmlformats.org/wordprocessingml/2006/main">
                <w:rFonts w:ascii="Arial" w:cs="Arial" w:eastAsia="Arial" w:hAnsi="Arial"/>
                <w:sz w:val="18"/>
                <w:szCs w:val="18"/>
                <w:color w:val="auto"/>
              </w:rPr>
              <w:t xml:space="preserve">GraniteShares 3x Short Tesla Daily ETP wurde entwickelt, um Investoren zu ermöglichen, -3-fache Exposition gegenüber einem</w:t>
            </w:r>
          </w:p>
        </w:tc>
      </w:tr>
      <w:tr>
        <w:trPr>
          <w:trHeight w:val="234"/>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Ziele</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Gesamtrendite der Investition in Tesla ("Basiswert").</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Wenn beispielsweise der Basiswert an einem bestimmten Tag um 5 % steigen sollte, ist das Produkt</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um 15 % an diesem Tag (abzüglich Gebühren und Anpassungen) und wenn der</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Der Lagerwert sollte an einem bestimmten Tag um 5 % sinken, das Produkt ist so konzipiert, dass der Wert steigt um</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15 % an diesem Tag (abzüglich Gebühren und Anpassungen).</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Für Zeiträume, die länger als einen Tag sind, ist die Rückgabe des Produkts nicht dasselbe wie die Rückgabe des Produkts</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Basiswert multipliziert mit -3 (der "Verschuldungsfaktor").</w:t>
            </w:r>
            <w:r>
              <w:rPr xmlns:w="http://schemas.openxmlformats.org/wordprocessingml/2006/main">
                <w:rFonts w:ascii="Arial" w:cs="Arial" w:eastAsia="Arial" w:hAnsi="Arial"/>
                <w:sz w:val="18"/>
                <w:szCs w:val="18"/>
                <w:color w:val="auto"/>
              </w:rPr>
              <w:t xml:space="preserve"> Dies liegt daran, dass der Hebelfaktor zurückgesetzt wird</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auf täglicher Basis (d. h. der Leverage-Faktor wird auf die Wertentwicklung des zugrunde liegenden Bestands auf</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jeden Tag).</w:t>
            </w:r>
            <w:r>
              <w:rPr xmlns:w="http://schemas.openxmlformats.org/wordprocessingml/2006/main">
                <w:rFonts w:ascii="Arial" w:cs="Arial" w:eastAsia="Arial" w:hAnsi="Arial"/>
                <w:sz w:val="18"/>
                <w:szCs w:val="18"/>
                <w:color w:val="auto"/>
              </w:rPr>
              <w:t xml:space="preserve"> Der tägliche Reset hat einen "Compounding-Effekt", d. h., je flüchtiger die</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die Wertentwicklung des zugrunde liegenden Bestands, je mehr die Wertentwicklung des Produkts von der</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Wertentwicklung des Basiswerts (multipliziert mit dem Verschuldungsfaktor) über einen bestimmten Zeitraum.</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Diese Abweichung kann positiv oder negativ sein.</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Das Produkt ist ein börsengehandeltes Produkt (ETP).</w:t>
            </w:r>
            <w:r>
              <w:rPr xmlns:w="http://schemas.openxmlformats.org/wordprocessingml/2006/main">
                <w:rFonts w:ascii="Arial" w:cs="Arial" w:eastAsia="Arial" w:hAnsi="Arial"/>
                <w:sz w:val="18"/>
                <w:szCs w:val="18"/>
                <w:color w:val="auto"/>
              </w:rPr>
              <w:t xml:space="preserve"> Sie können dieses Produkt auf verschiedenen Aktien handeln</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Austausch nach eigenem Ermessen.</w:t>
            </w:r>
            <w:r>
              <w:rPr xmlns:w="http://schemas.openxmlformats.org/wordprocessingml/2006/main">
                <w:rFonts w:ascii="Arial" w:cs="Arial" w:eastAsia="Arial" w:hAnsi="Arial"/>
                <w:sz w:val="18"/>
                <w:szCs w:val="18"/>
                <w:color w:val="auto"/>
              </w:rPr>
              <w:t xml:space="preserve"> Sie können den vollen Wert Ihrer anfänglichen Investition verlieren, aber Sie werden</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nicht mehr als Ihre ursprüngliche Investition verlieren.</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Das Produkt wird durch einen Swap mit Natixis (dem "Swap-Anbieter") unterstützt.</w:t>
            </w:r>
            <w:r>
              <w:rPr xmlns:w="http://schemas.openxmlformats.org/wordprocessingml/2006/main">
                <w:rFonts w:ascii="Arial" w:cs="Arial" w:eastAsia="Arial" w:hAnsi="Arial"/>
                <w:sz w:val="18"/>
                <w:szCs w:val="18"/>
                <w:color w:val="auto"/>
              </w:rPr>
              <w:t xml:space="preserve"> Die Zahlungsverpflichtungen des</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Swap-Anbieter zu GraniteShares Financial Plc sind durch Sicherheiten geschützt, die auf einem getrennten Konto gehalten werden</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bei einer unabhängigen Depotbank, The Bank of New York Mellon SA/NV.</w:t>
            </w:r>
          </w:p>
        </w:tc>
      </w:tr>
      <w:tr>
        <w:trPr>
          <w:trHeight w:val="121"/>
        </w:trPr>
        <w:tc>
          <w:tcPr>
            <w:tcW w:w="1160" w:type="dxa"/>
            <w:vAlign w:val="bottom"/>
            <w:tcBorders>
              <w:left w:val="single" w:sz="8" w:color="7F7F7F"/>
              <w:bottom w:val="single" w:sz="8" w:color="7F7F7F"/>
              <w:right w:val="single" w:sz="8" w:color="7F7F7F"/>
            </w:tcBorders>
          </w:tcPr>
          <w:p>
            <w:pPr>
              <w:spacing w:after="0"/>
              <w:rPr>
                <w:sz w:val="10"/>
                <w:szCs w:val="10"/>
                <w:color w:val="auto"/>
              </w:rPr>
            </w:pPr>
          </w:p>
        </w:tc>
        <w:tc>
          <w:tcPr>
            <w:tcW w:w="8720" w:type="dxa"/>
            <w:vAlign w:val="bottom"/>
            <w:tcBorders>
              <w:bottom w:val="single" w:sz="8" w:color="7F7F7F"/>
              <w:right w:val="single" w:sz="8" w:color="7F7F7F"/>
            </w:tcBorders>
          </w:tcPr>
          <w:p>
            <w:pPr>
              <w:spacing w:after="0"/>
              <w:rPr>
                <w:sz w:val="10"/>
                <w:szCs w:val="10"/>
                <w:color w:val="auto"/>
              </w:rPr>
            </w:pPr>
          </w:p>
        </w:tc>
      </w:tr>
      <w:tr>
        <w:trPr>
          <w:trHeight w:val="196"/>
        </w:trPr>
        <w:tc>
          <w:tcPr>
            <w:tcW w:w="1160" w:type="dxa"/>
            <w:vAlign w:val="bottom"/>
            <w:tcBorders>
              <w:left w:val="single" w:sz="8" w:color="7F7F7F"/>
              <w:right w:val="single" w:sz="8" w:color="7F7F7F"/>
            </w:tcBorders>
          </w:tcPr>
          <w:p>
            <w:pPr xmlns:w="http://schemas.openxmlformats.org/wordprocessingml/2006/main">
              <w:ind w:left="120"/>
              <w:spacing w:after="0" w:line="195" w:lineRule="exact"/>
              <w:rPr>
                <w:sz w:val="20"/>
                <w:szCs w:val="20"/>
                <w:color w:val="auto"/>
              </w:rPr>
            </w:pPr>
            <w:r>
              <w:rPr xmlns:w="http://schemas.openxmlformats.org/wordprocessingml/2006/main">
                <w:rFonts w:ascii="Arial" w:cs="Arial" w:eastAsia="Arial" w:hAnsi="Arial"/>
                <w:sz w:val="18"/>
                <w:szCs w:val="18"/>
                <w:b w:val="1"/>
                <w:bCs w:val="1"/>
                <w:color w:val="auto"/>
              </w:rPr>
              <w:t xml:space="preserve">beabsichtigt</w:t>
            </w:r>
          </w:p>
        </w:tc>
        <w:tc>
          <w:tcPr>
            <w:tcW w:w="8720" w:type="dxa"/>
            <w:vAlign w:val="bottom"/>
            <w:tcBorders>
              <w:right w:val="single" w:sz="8" w:color="7F7F7F"/>
            </w:tcBorders>
          </w:tcPr>
          <w:p>
            <w:pPr xmlns:w="http://schemas.openxmlformats.org/wordprocessingml/2006/main">
              <w:ind w:left="80"/>
              <w:spacing w:after="0" w:line="195" w:lineRule="exact"/>
              <w:rPr>
                <w:sz w:val="20"/>
                <w:szCs w:val="20"/>
                <w:color w:val="auto"/>
              </w:rPr>
            </w:pPr>
            <w:r>
              <w:rPr xmlns:w="http://schemas.openxmlformats.org/wordprocessingml/2006/main">
                <w:rFonts w:ascii="Arial" w:cs="Arial" w:eastAsia="Arial" w:hAnsi="Arial"/>
                <w:sz w:val="18"/>
                <w:szCs w:val="18"/>
                <w:color w:val="auto"/>
              </w:rPr>
              <w:t xml:space="preserve">Dieses Produkt ist für Kleinanleger bestimmt, die (i) über spezifische Kenntnisse oder Erfahrungen in folgenden Bereichen verfügen:</w:t>
            </w:r>
          </w:p>
        </w:tc>
      </w:tr>
      <w:tr>
        <w:trPr>
          <w:trHeight w:val="218"/>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Einzelhandel</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Investitionen in ähnliche Produkte und in Finanzmärkte und haben die Fähigkeit, das Produkt zu verstehen</w:t>
            </w:r>
          </w:p>
        </w:tc>
      </w:tr>
      <w:tr>
        <w:trPr>
          <w:trHeight w:val="221"/>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Investor</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und ihre Risiken und Chancen; (ii) den Kapitalverlust tragen können, nicht auf Kapitalerhalt abzielen und</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keine Kapitalgarantie beantragt wird und (iii) einen Investitionshorizont im Einklang mit den Empfehlungen hat</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Haltezeit</w:t>
            </w:r>
          </w:p>
        </w:tc>
      </w:tr>
      <w:tr>
        <w:trPr>
          <w:trHeight w:val="162"/>
        </w:trPr>
        <w:tc>
          <w:tcPr>
            <w:tcW w:w="1160" w:type="dxa"/>
            <w:vAlign w:val="bottom"/>
            <w:tcBorders>
              <w:left w:val="single" w:sz="8" w:color="7F7F7F"/>
              <w:bottom w:val="single" w:sz="8" w:color="7F7F7F"/>
              <w:right w:val="single" w:sz="8" w:color="7F7F7F"/>
            </w:tcBorders>
          </w:tcPr>
          <w:p>
            <w:pPr>
              <w:spacing w:after="0"/>
              <w:rPr>
                <w:sz w:val="14"/>
                <w:szCs w:val="14"/>
                <w:color w:val="auto"/>
              </w:rPr>
            </w:pPr>
          </w:p>
        </w:tc>
        <w:tc>
          <w:tcPr>
            <w:tcW w:w="8720" w:type="dxa"/>
            <w:vAlign w:val="bottom"/>
            <w:tcBorders>
              <w:bottom w:val="single" w:sz="8" w:color="7F7F7F"/>
              <w:right w:val="single" w:sz="8" w:color="7F7F7F"/>
            </w:tcBorders>
          </w:tcPr>
          <w:p>
            <w:pPr>
              <w:spacing w:after="0"/>
              <w:rPr>
                <w:sz w:val="14"/>
                <w:szCs w:val="14"/>
                <w:color w:val="auto"/>
              </w:rPr>
            </w:pPr>
          </w:p>
        </w:tc>
      </w:tr>
    </w:tbl>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6243320</wp:posOffset>
                </wp:positionH>
                <wp:positionV relativeFrom="paragraph">
                  <wp:posOffset>-8890</wp:posOffset>
                </wp:positionV>
                <wp:extent cx="12065" cy="1206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065" cy="12065"/>
                        </a:xfrm>
                        <a:prstGeom prst="rect">
                          <a:avLst/>
                        </a:prstGeom>
                        <a:solidFill>
                          <a:srgbClr val="7F7F7F"/>
                        </a:solidFill>
                      </wps:spPr>
                      <wps:bodyPr/>
                    </wps:wsp>
                  </a:graphicData>
                </a:graphic>
              </wp:anchor>
            </w:drawing>
          </mc:Choice>
          <mc:Fallback>
            <w:pict>
              <v:rect id="Shape 4" o:spid="_x0000_s1029" style="position:absolute;margin-left:491.6pt;margin-top:-0.6999pt;width:0.95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7F7F7F" stroked="f"/>
            </w:pict>
          </mc:Fallback>
        </mc:AlternateContent>
      </w:r>
    </w:p>
    <w:p>
      <w:pPr>
        <w:spacing w:after="0" w:line="100"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Laufzeit des PRIIP</w:t>
      </w:r>
    </w:p>
    <w:p>
      <w:pPr>
        <w:spacing w:after="0" w:line="40" w:lineRule="exact"/>
        <w:rPr>
          <w:sz w:val="24"/>
          <w:szCs w:val="24"/>
          <w:color w:val="auto"/>
        </w:rPr>
      </w:pPr>
    </w:p>
    <w:p>
      <w:pPr xmlns:w="http://schemas.openxmlformats.org/wordprocessingml/2006/main">
        <w:ind w:left="20" w:right="20"/>
        <w:spacing w:after="0" w:line="319" w:lineRule="auto"/>
        <w:rPr>
          <w:sz w:val="20"/>
          <w:szCs w:val="20"/>
          <w:color w:val="auto"/>
        </w:rPr>
      </w:pPr>
      <w:r>
        <w:rPr xmlns:w="http://schemas.openxmlformats.org/wordprocessingml/2006/main">
          <w:rFonts w:ascii="Arial" w:cs="Arial" w:eastAsia="Arial" w:hAnsi="Arial"/>
          <w:sz w:val="18"/>
          <w:szCs w:val="18"/>
          <w:color w:val="auto"/>
        </w:rPr>
        <w:t xml:space="preserve">Dieses Produkt hat keine feste Laufzeit.</w:t>
      </w:r>
      <w:r>
        <w:rPr xmlns:w="http://schemas.openxmlformats.org/wordprocessingml/2006/main">
          <w:rFonts w:ascii="Arial" w:cs="Arial" w:eastAsia="Arial" w:hAnsi="Arial"/>
          <w:sz w:val="18"/>
          <w:szCs w:val="18"/>
          <w:color w:val="auto"/>
        </w:rPr>
        <w:t xml:space="preserve"> Die Laufzeit hängt davon ab, wie lange Sie das Produkt halten möchten, das geplante Fälligkeitsdatum ist jedoch der 01. Juli 2070.</w:t>
      </w:r>
      <w:r>
        <w:rPr xmlns:w="http://schemas.openxmlformats.org/wordprocessingml/2006/main">
          <w:rFonts w:ascii="Arial" w:cs="Arial" w:eastAsia="Arial" w:hAnsi="Arial"/>
          <w:sz w:val="18"/>
          <w:szCs w:val="18"/>
          <w:color w:val="auto"/>
        </w:rPr>
        <w:t xml:space="preserve"> GraniteShares Financial Plc ist berechtigt, dieses Produkt einseitig zu kündigen.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193675</wp:posOffset>
            </wp:positionV>
            <wp:extent cx="6241415" cy="2286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6241415" cy="228600"/>
                    </a:xfrm>
                    <a:prstGeom prst="rect">
                      <a:avLst/>
                    </a:prstGeom>
                    <a:noFill/>
                  </pic:spPr>
                </pic:pic>
              </a:graphicData>
            </a:graphic>
          </wp:anchor>
        </w:drawing>
      </w:r>
    </w:p>
    <w:p>
      <w:pPr>
        <w:spacing w:after="0" w:line="339"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Was sind die Risiken und was könnte ich dafür bekommen?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1125220</wp:posOffset>
            </wp:positionH>
            <wp:positionV relativeFrom="paragraph">
              <wp:posOffset>236220</wp:posOffset>
            </wp:positionV>
            <wp:extent cx="3847465" cy="3016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3847465" cy="301625"/>
                    </a:xfrm>
                    <a:prstGeom prst="rect">
                      <a:avLst/>
                    </a:prstGeom>
                    <a:noFill/>
                  </pic:spPr>
                </pic:pic>
              </a:graphicData>
            </a:graphic>
          </wp:anchor>
        </w:drawing>
      </w:r>
    </w:p>
    <w:p>
      <w:pPr>
        <w:sectPr>
          <w:pgSz w:w="12240" w:h="16037" w:orient="portrait"/>
          <w:cols w:equalWidth="0" w:num="1">
            <w:col w:w="9840"/>
          </w:cols>
          <w:pgMar w:left="1320" w:top="559" w:right="1080" w:bottom="0" w:gutter="0" w:footer="0" w:header="0"/>
        </w:sectPr>
      </w:pPr>
    </w:p>
    <w:p>
      <w:pPr>
        <w:spacing w:after="0" w:line="372" w:lineRule="exact"/>
        <w:rPr>
          <w:sz w:val="24"/>
          <w:szCs w:val="24"/>
          <w:color w:val="auto"/>
        </w:rPr>
      </w:pPr>
    </w:p>
    <w:tbl>
      <w:tblPr>
        <w:tblLayout w:type="fixed"/>
        <w:tblInd w:w="2160" w:type="dxa"/>
        <w:tblCellMar>
          <w:top w:w="0" w:type="dxa"/>
          <w:left w:w="0" w:type="dxa"/>
          <w:bottom w:w="0" w:type="dxa"/>
          <w:right w:w="0" w:type="dxa"/>
        </w:tblCellMar>
      </w:tblPr>
      <w:tr>
        <w:trPr>
          <w:trHeight w:val="347"/>
        </w:trPr>
        <w:tc>
          <w:tcPr>
            <w:tcW w:w="500" w:type="dxa"/>
            <w:vAlign w:val="bottom"/>
            <w:tcBorders>
              <w:right w:val="single" w:sz="8" w:color="7F7F7F"/>
            </w:tcBorders>
          </w:tcPr>
          <w:p>
            <w:pPr xmlns:w="http://schemas.openxmlformats.org/wordprocessingml/2006/main">
              <w:jc w:val="right"/>
              <w:ind w:right="310"/>
              <w:spacing w:after="0"/>
              <w:rPr>
                <w:sz w:val="20"/>
                <w:szCs w:val="20"/>
                <w:color w:val="auto"/>
              </w:rPr>
            </w:pPr>
            <w:r>
              <w:rPr xmlns:w="http://schemas.openxmlformats.org/wordprocessingml/2006/main">
                <w:rFonts w:ascii="Arial" w:cs="Arial" w:eastAsia="Arial" w:hAnsi="Arial"/>
                <w:sz w:val="18"/>
                <w:szCs w:val="18"/>
                <w:color w:val="auto"/>
                <w:w w:val="79"/>
              </w:rPr>
              <w:t xml:space="preserve">1</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auto"/>
              </w:rPr>
              <w:t xml:space="preserve">2</w:t>
            </w:r>
          </w:p>
        </w:tc>
      </w:tr>
      <w:tr>
        <w:trPr>
          <w:trHeight w:val="128"/>
        </w:trPr>
        <w:tc>
          <w:tcPr>
            <w:tcW w:w="500" w:type="dxa"/>
            <w:vAlign w:val="bottom"/>
            <w:tcBorders>
              <w:right w:val="single" w:sz="8" w:color="7F7F7F"/>
            </w:tcBorders>
          </w:tcPr>
          <w:p>
            <w:pPr>
              <w:spacing w:after="0"/>
              <w:rPr>
                <w:sz w:val="11"/>
                <w:szCs w:val="11"/>
                <w:color w:val="auto"/>
              </w:rPr>
            </w:pPr>
          </w:p>
        </w:tc>
        <w:tc>
          <w:tcPr>
            <w:tcW w:w="480" w:type="dxa"/>
            <w:vAlign w:val="bottom"/>
          </w:tcPr>
          <w:p>
            <w:pPr>
              <w:spacing w:after="0"/>
              <w:rPr>
                <w:sz w:val="11"/>
                <w:szCs w:val="11"/>
                <w:color w:val="auto"/>
              </w:rPr>
            </w:pPr>
          </w:p>
        </w:tc>
      </w:tr>
    </w:tbl>
    <w:p>
      <w:pPr>
        <w:spacing w:after="0" w:line="247" w:lineRule="exact"/>
        <w:rPr>
          <w:sz w:val="24"/>
          <w:szCs w:val="24"/>
          <w:color w:val="auto"/>
        </w:rPr>
      </w:pPr>
    </w:p>
    <w:p>
      <w:pPr xmlns:w="http://schemas.openxmlformats.org/wordprocessingml/2006/main">
        <w:ind w:left="1980"/>
        <w:spacing w:after="0"/>
        <w:rPr>
          <w:sz w:val="20"/>
          <w:szCs w:val="20"/>
          <w:color w:val="auto"/>
        </w:rPr>
      </w:pPr>
      <w:r>
        <w:rPr xmlns:w="http://schemas.openxmlformats.org/wordprocessingml/2006/main">
          <w:rFonts w:ascii="Calibri Light" w:cs="Calibri Light" w:eastAsia="Calibri Light" w:hAnsi="Calibri Light"/>
          <w:sz w:val="18"/>
          <w:szCs w:val="18"/>
          <w:color w:val="auto"/>
        </w:rPr>
        <w:t xml:space="preserve">Geringeres Risiko</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7"/>
          <w:szCs w:val="17"/>
          <w:color w:val="auto"/>
        </w:rPr>
        <w:t xml:space="preserve">3</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8"/>
          <w:szCs w:val="18"/>
          <w:color w:val="auto"/>
        </w:rPr>
        <w:t xml:space="preserve">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-1899920</wp:posOffset>
            </wp:positionH>
            <wp:positionV relativeFrom="paragraph">
              <wp:posOffset>388620</wp:posOffset>
            </wp:positionV>
            <wp:extent cx="3863975" cy="825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extLst>
                    </a:blip>
                    <a:srcRect/>
                    <a:stretch>
                      <a:fillRect/>
                    </a:stretch>
                  </pic:blipFill>
                  <pic:spPr bwMode="auto">
                    <a:xfrm>
                      <a:off x="0" y="0"/>
                      <a:ext cx="3863975" cy="825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7"/>
          <w:szCs w:val="17"/>
          <w:color w:val="auto"/>
        </w:rPr>
        <w:t xml:space="preserve">5</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5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347"/>
        </w:trPr>
        <w:tc>
          <w:tcPr>
            <w:tcW w:w="500" w:type="dxa"/>
            <w:vAlign w:val="bottom"/>
            <w:tcBorders>
              <w:right w:val="single" w:sz="8" w:color="7F7F7F"/>
            </w:tcBorders>
          </w:tcPr>
          <w:p>
            <w:pPr xmlns:w="http://schemas.openxmlformats.org/wordprocessingml/2006/main">
              <w:jc w:val="right"/>
              <w:ind w:right="310"/>
              <w:spacing w:after="0"/>
              <w:rPr>
                <w:sz w:val="20"/>
                <w:szCs w:val="20"/>
                <w:color w:val="auto"/>
              </w:rPr>
            </w:pPr>
            <w:r>
              <w:rPr xmlns:w="http://schemas.openxmlformats.org/wordprocessingml/2006/main">
                <w:rFonts w:ascii="Arial" w:cs="Arial" w:eastAsia="Arial" w:hAnsi="Arial"/>
                <w:sz w:val="18"/>
                <w:szCs w:val="18"/>
                <w:color w:val="auto"/>
                <w:w w:val="79"/>
              </w:rPr>
              <w:t xml:space="preserve">6</w:t>
            </w:r>
          </w:p>
        </w:tc>
        <w:tc>
          <w:tcPr>
            <w:tcW w:w="860" w:type="dxa"/>
            <w:vAlign w:val="bottom"/>
            <w:shd w:val="clear" w:color="auto" w:fill="8EAADB"/>
          </w:tcPr>
          <w:p>
            <w:pPr xmlns:w="http://schemas.openxmlformats.org/wordprocessingml/2006/main">
              <w:jc w:val="right"/>
              <w:ind w:right="290"/>
              <w:spacing w:after="0"/>
              <w:rPr>
                <w:sz w:val="20"/>
                <w:szCs w:val="20"/>
                <w:color w:val="auto"/>
              </w:rPr>
            </w:pPr>
            <w:r>
              <w:rPr xmlns:w="http://schemas.openxmlformats.org/wordprocessingml/2006/main">
                <w:rFonts w:ascii="Arial" w:cs="Arial" w:eastAsia="Arial" w:hAnsi="Arial"/>
                <w:sz w:val="18"/>
                <w:szCs w:val="18"/>
                <w:color w:val="auto"/>
              </w:rPr>
              <w:t xml:space="preserve">7</w:t>
            </w:r>
          </w:p>
        </w:tc>
      </w:tr>
      <w:tr>
        <w:trPr>
          <w:trHeight w:val="128"/>
        </w:trPr>
        <w:tc>
          <w:tcPr>
            <w:tcW w:w="500" w:type="dxa"/>
            <w:vAlign w:val="bottom"/>
            <w:tcBorders>
              <w:right w:val="single" w:sz="8" w:color="7F7F7F"/>
            </w:tcBorders>
          </w:tcPr>
          <w:p>
            <w:pPr>
              <w:spacing w:after="0"/>
              <w:rPr>
                <w:sz w:val="11"/>
                <w:szCs w:val="11"/>
                <w:color w:val="auto"/>
              </w:rPr>
            </w:pPr>
          </w:p>
        </w:tc>
        <w:tc>
          <w:tcPr>
            <w:tcW w:w="860" w:type="dxa"/>
            <w:vAlign w:val="bottom"/>
            <w:shd w:val="clear" w:color="auto" w:fill="8EAADB"/>
          </w:tcPr>
          <w:p>
            <w:pPr>
              <w:spacing w:after="0"/>
              <w:rPr>
                <w:sz w:val="11"/>
                <w:szCs w:val="11"/>
                <w:color w:val="auto"/>
              </w:rPr>
            </w:pPr>
          </w:p>
        </w:tc>
      </w:tr>
    </w:tbl>
    <w:p>
      <w:pPr>
        <w:spacing w:after="0" w:line="271" w:lineRule="exact"/>
        <w:rPr>
          <w:sz w:val="24"/>
          <w:szCs w:val="24"/>
          <w:color w:val="auto"/>
        </w:rPr>
      </w:pPr>
    </w:p>
    <w:p>
      <w:pPr xmlns:w="http://schemas.openxmlformats.org/wordprocessingml/2006/main">
        <w:ind w:left="300"/>
        <w:spacing w:after="0"/>
        <w:rPr>
          <w:sz w:val="20"/>
          <w:szCs w:val="20"/>
          <w:color w:val="auto"/>
        </w:rPr>
      </w:pPr>
      <w:r>
        <w:rPr xmlns:w="http://schemas.openxmlformats.org/wordprocessingml/2006/main">
          <w:rFonts w:ascii="Calibri Light" w:cs="Calibri Light" w:eastAsia="Calibri Light" w:hAnsi="Calibri Light"/>
          <w:sz w:val="18"/>
          <w:szCs w:val="18"/>
          <w:color w:val="auto"/>
        </w:rPr>
        <w:t xml:space="preserve">Höheres Risiko</w:t>
      </w:r>
    </w:p>
    <w:p>
      <w:pPr>
        <w:spacing w:after="0" w:line="200" w:lineRule="exact"/>
        <w:rPr>
          <w:sz w:val="24"/>
          <w:szCs w:val="24"/>
          <w:color w:val="auto"/>
        </w:rPr>
      </w:pPr>
    </w:p>
    <w:p>
      <w:pPr>
        <w:sectPr>
          <w:pgSz w:w="12240" w:h="16037" w:orient="portrait"/>
          <w:cols w:equalWidth="0" w:num="5">
            <w:col w:w="3160" w:space="720"/>
            <w:col w:w="140" w:space="720"/>
            <w:col w:w="160" w:space="720"/>
            <w:col w:w="140" w:space="720"/>
            <w:col w:w="3360"/>
          </w:cols>
          <w:pgMar w:left="1320" w:top="559" w:right="1080" w:bottom="0" w:gutter="0" w:footer="0" w:header="0"/>
          <w:type w:val="continuous"/>
        </w:sectPr>
      </w:pPr>
    </w:p>
    <w:p>
      <w:pPr>
        <w:spacing w:after="0" w:line="333" w:lineRule="exact"/>
        <w:rPr>
          <w:sz w:val="24"/>
          <w:szCs w:val="24"/>
          <w:color w:val="auto"/>
        </w:rPr>
      </w:pPr>
    </w:p>
    <w:tbl>
      <w:tblPr>
        <w:tblLayout w:type="fixed"/>
        <w:tblInd w:w="120" w:type="dxa"/>
        <w:tblCellMar>
          <w:top w:w="0" w:type="dxa"/>
          <w:left w:w="0" w:type="dxa"/>
          <w:bottom w:w="0" w:type="dxa"/>
          <w:right w:w="0" w:type="dxa"/>
        </w:tblCellMar>
      </w:tblPr>
      <w:tr>
        <w:trPr>
          <w:trHeight w:val="33"/>
        </w:trPr>
        <w:tc>
          <w:tcPr>
            <w:tcW w:w="5960" w:type="dxa"/>
            <w:vAlign w:val="bottom"/>
            <w:tcBorders>
              <w:bottom w:val="single" w:sz="8" w:color="969696"/>
            </w:tcBorders>
          </w:tcPr>
          <w:p>
            <w:pPr>
              <w:spacing w:after="0"/>
              <w:rPr>
                <w:sz w:val="2"/>
                <w:szCs w:val="2"/>
                <w:color w:val="auto"/>
              </w:rPr>
            </w:pPr>
          </w:p>
        </w:tc>
        <w:tc>
          <w:tcPr>
            <w:tcW w:w="2400" w:type="dxa"/>
            <w:vAlign w:val="bottom"/>
            <w:tcBorders>
              <w:bottom w:val="single" w:sz="8" w:color="969696"/>
            </w:tcBorders>
          </w:tcPr>
          <w:p>
            <w:pPr>
              <w:spacing w:after="0"/>
              <w:rPr>
                <w:sz w:val="2"/>
                <w:szCs w:val="2"/>
                <w:color w:val="auto"/>
              </w:rPr>
            </w:pPr>
          </w:p>
        </w:tc>
        <w:tc>
          <w:tcPr>
            <w:tcW w:w="1140" w:type="dxa"/>
            <w:vAlign w:val="bottom"/>
            <w:tcBorders>
              <w:bottom w:val="single" w:sz="8" w:color="969696"/>
            </w:tcBorders>
          </w:tcPr>
          <w:p>
            <w:pPr>
              <w:spacing w:after="0"/>
              <w:rPr>
                <w:sz w:val="2"/>
                <w:szCs w:val="2"/>
                <w:color w:val="auto"/>
              </w:rPr>
            </w:pPr>
          </w:p>
        </w:tc>
      </w:tr>
      <w:tr>
        <w:trPr>
          <w:trHeight w:val="239"/>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w:t>
            </w:r>
            <w:r>
              <w:rPr xmlns:w="http://schemas.openxmlformats.org/wordprocessingml/2006/main">
                <w:rFonts w:ascii="Arial" w:cs="Arial" w:eastAsia="Arial" w:hAnsi="Arial"/>
                <w:sz w:val="16"/>
                <w:szCs w:val="16"/>
                <w:color w:val="auto"/>
              </w:rPr>
              <w:t xml:space="preserve"> Stock</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40" w:type="dxa"/>
            <w:vAlign w:val="bottom"/>
          </w:tcPr>
          <w:p>
            <w:pPr>
              <w:spacing w:after="0"/>
              <w:rPr>
                <w:sz w:val="20"/>
                <w:szCs w:val="20"/>
                <w:color w:val="auto"/>
              </w:rPr>
            </w:pPr>
          </w:p>
        </w:tc>
      </w:tr>
      <w:tr>
        <w:trPr>
          <w:trHeight w:val="218"/>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167-169 Great Portland St</w:t>
            </w:r>
          </w:p>
        </w:tc>
        <w:tc>
          <w:tcPr>
            <w:tcW w:w="2400" w:type="dxa"/>
            <w:vAlign w:val="bottom"/>
          </w:tcPr>
          <w:p>
            <w:pPr xmlns:w="http://schemas.openxmlformats.org/wordprocessingml/2006/main">
              <w:jc w:val="right"/>
              <w:ind w:right="60"/>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40" w:type="dxa"/>
            <w:vAlign w:val="bottom"/>
          </w:tcPr>
          <w:p>
            <w:pPr>
              <w:spacing w:after="0"/>
              <w:rPr>
                <w:sz w:val="18"/>
                <w:szCs w:val="18"/>
                <w:color w:val="auto"/>
              </w:rPr>
            </w:pPr>
          </w:p>
        </w:tc>
      </w:tr>
      <w:tr>
        <w:trPr>
          <w:trHeight w:val="241"/>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London W1W 5PF</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40" w:type="dxa"/>
            <w:vAlign w:val="bottom"/>
          </w:tcPr>
          <w:p>
            <w:pPr>
              <w:spacing w:after="0"/>
              <w:rPr>
                <w:sz w:val="20"/>
                <w:szCs w:val="20"/>
                <w:color w:val="auto"/>
              </w:rPr>
            </w:pPr>
          </w:p>
        </w:tc>
      </w:tr>
      <w:tr>
        <w:trPr>
          <w:trHeight w:val="249"/>
        </w:trPr>
        <w:tc>
          <w:tcPr>
            <w:tcW w:w="596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140" w:type="dxa"/>
            <w:vAlign w:val="bottom"/>
          </w:tcPr>
          <w:p>
            <w:pPr>
              <w:spacing w:after="0"/>
              <w:rPr>
                <w:sz w:val="21"/>
                <w:szCs w:val="2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5361305</wp:posOffset>
            </wp:positionH>
            <wp:positionV relativeFrom="paragraph">
              <wp:posOffset>-524510</wp:posOffset>
            </wp:positionV>
            <wp:extent cx="814705" cy="4997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p>
      <w:pPr>
        <w:sectPr>
          <w:pgSz w:w="12240" w:h="16037" w:orient="portrait"/>
          <w:cols w:equalWidth="0" w:num="1">
            <w:col w:w="9840"/>
          </w:cols>
          <w:pgMar w:left="1320" w:top="559" w:right="1080" w:bottom="0" w:gutter="0" w:footer="0" w:header="0"/>
          <w:type w:val="continuous"/>
        </w:sectPr>
      </w:pPr>
    </w:p>
    <w:bookmarkStart w:id="1" w:name="page2"/>
    <w:bookmarkEnd w:id="1"/>
    <w:p>
      <w:pPr>
        <w:spacing w:after="0" w:line="19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840" w:right="1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GraniteShares 3x Short Tesla Daily ETP Key Information Document</w:t>
      </w:r>
    </w:p>
    <w:p>
      <w:pPr>
        <w:spacing w:after="0" w:line="198" w:lineRule="exact"/>
        <w:rPr>
          <w:sz w:val="20"/>
          <w:szCs w:val="20"/>
          <w:color w:val="auto"/>
        </w:rPr>
      </w:pPr>
    </w:p>
    <w:p>
      <w:pPr xmlns:w="http://schemas.openxmlformats.org/wordprocessingml/2006/main">
        <w:jc w:val="both"/>
        <w:ind w:left="680" w:right="340"/>
        <w:spacing w:after="0" w:line="303" w:lineRule="auto"/>
        <w:rPr>
          <w:sz w:val="20"/>
          <w:szCs w:val="20"/>
          <w:color w:val="auto"/>
        </w:rPr>
      </w:pPr>
      <w:r>
        <w:rPr xmlns:w="http://schemas.openxmlformats.org/wordprocessingml/2006/main">
          <w:rFonts w:ascii="Arial" w:cs="Arial" w:eastAsia="Arial" w:hAnsi="Arial"/>
          <w:sz w:val="16"/>
          <w:szCs w:val="16"/>
          <w:color w:val="auto"/>
        </w:rPr>
        <w:t xml:space="preserve">Der Risikoindikator geht davon aus, dass Sie das Produkt 1 Tag lang aufbewahren.</w:t>
      </w:r>
      <w:r>
        <w:rPr xmlns:w="http://schemas.openxmlformats.org/wordprocessingml/2006/main">
          <w:rFonts w:ascii="Arial" w:cs="Arial" w:eastAsia="Arial" w:hAnsi="Arial"/>
          <w:sz w:val="16"/>
          <w:szCs w:val="16"/>
          <w:color w:val="auto"/>
        </w:rPr>
        <w:t xml:space="preserve"> Das tatsächliche Risiko kann erheblich variieren, wenn Sie das Produkt über einen längeren Zeitraum aufbewahren und weniger zurückerhalten.</w:t>
      </w:r>
      <w:r>
        <w:rPr xmlns:w="http://schemas.openxmlformats.org/wordprocessingml/2006/main">
          <w:rFonts w:ascii="Arial" w:cs="Arial" w:eastAsia="Arial" w:hAnsi="Arial"/>
          <w:sz w:val="16"/>
          <w:szCs w:val="16"/>
          <w:color w:val="auto"/>
        </w:rPr>
        <w:t xml:space="preserve"> Möglicherweise können Sie Ihr Produkt nicht einfach verkaufen oder müssen es zu einem Preis verkaufen, der sich erheblich darauf auswirkt, wie viel Sie zurückerhalten.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-239395</wp:posOffset>
            </wp:positionV>
            <wp:extent cx="271780" cy="2413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271780" cy="241300"/>
                    </a:xfrm>
                    <a:prstGeom prst="rect">
                      <a:avLst/>
                    </a:prstGeom>
                    <a:noFill/>
                  </pic:spPr>
                </pic:pic>
              </a:graphicData>
            </a:graphic>
          </wp:anchor>
        </w:drawing>
      </w:r>
    </w:p>
    <w:p>
      <w:pPr>
        <w:spacing w:after="0" w:line="317" w:lineRule="exact"/>
        <w:rPr>
          <w:sz w:val="20"/>
          <w:szCs w:val="20"/>
          <w:color w:val="auto"/>
        </w:rPr>
      </w:pPr>
    </w:p>
    <w:p>
      <w:pPr xmlns:w="http://schemas.openxmlformats.org/wordprocessingml/2006/main">
        <w:jc w:val="both"/>
        <w:ind w:right="120"/>
        <w:spacing w:after="0" w:line="301" w:lineRule="auto"/>
        <w:rPr>
          <w:sz w:val="20"/>
          <w:szCs w:val="20"/>
          <w:color w:val="auto"/>
        </w:rPr>
      </w:pPr>
      <w:r>
        <w:rPr xmlns:w="http://schemas.openxmlformats.org/wordprocessingml/2006/main">
          <w:rFonts w:ascii="Arial" w:cs="Arial" w:eastAsia="Arial" w:hAnsi="Arial"/>
          <w:sz w:val="18"/>
          <w:szCs w:val="18"/>
          <w:color w:val="auto"/>
        </w:rPr>
        <w:t xml:space="preserve">Der Gesamtrisikoindikator ist ein Leitfaden für das Risikoniveau dieses Produkts im Vergleich zu anderen Produkten.</w:t>
      </w:r>
      <w:r>
        <w:rPr xmlns:w="http://schemas.openxmlformats.org/wordprocessingml/2006/main">
          <w:rFonts w:ascii="Arial" w:cs="Arial" w:eastAsia="Arial" w:hAnsi="Arial"/>
          <w:sz w:val="18"/>
          <w:szCs w:val="18"/>
          <w:color w:val="auto"/>
        </w:rPr>
        <w:t xml:space="preserve"> Es zeigt, wie wahrscheinlich es ist, dass das Produkt aufgrund von Bewegungen auf den Märkten Geld verliert oder weil wir nicht in der Lage sind, Sie zu bezahlen.</w:t>
      </w:r>
    </w:p>
    <w:p>
      <w:pPr>
        <w:spacing w:after="0" w:line="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Wir haben dieses Produkt als 7 von 7 eingestuft, was die höchste Risikoklasse darstellt.</w:t>
      </w:r>
    </w:p>
    <w:p>
      <w:pPr>
        <w:spacing w:after="0" w:line="158" w:lineRule="exact"/>
        <w:rPr>
          <w:sz w:val="20"/>
          <w:szCs w:val="20"/>
          <w:color w:val="auto"/>
        </w:rPr>
      </w:pPr>
    </w:p>
    <w:p>
      <w:pPr xmlns:w="http://schemas.openxmlformats.org/wordprocessingml/2006/main">
        <w:jc w:val="both"/>
        <w:ind w:right="120"/>
        <w:spacing w:after="0" w:line="294" w:lineRule="auto"/>
        <w:rPr>
          <w:sz w:val="20"/>
          <w:szCs w:val="20"/>
          <w:color w:val="auto"/>
        </w:rPr>
      </w:pPr>
      <w:r>
        <w:rPr xmlns:w="http://schemas.openxmlformats.org/wordprocessingml/2006/main">
          <w:rFonts w:ascii="Arial" w:cs="Arial" w:eastAsia="Arial" w:hAnsi="Arial"/>
          <w:sz w:val="18"/>
          <w:szCs w:val="18"/>
          <w:color w:val="auto"/>
        </w:rPr>
        <w:t xml:space="preserve">Dies bewertet die potenziellen Verluste aus künftiger Performance auf einem sehr hohen Niveau, und schlechte Marktbedingungen werden die Performance sehr wahrscheinlich beeinflussen.</w:t>
      </w:r>
      <w:r>
        <w:rPr xmlns:w="http://schemas.openxmlformats.org/wordprocessingml/2006/main">
          <w:rFonts w:ascii="Arial" w:cs="Arial" w:eastAsia="Arial" w:hAnsi="Arial"/>
          <w:sz w:val="18"/>
          <w:szCs w:val="18"/>
          <w:color w:val="auto"/>
        </w:rPr>
        <w:t xml:space="preserve"> Dieses Produkt enthält keinen Schutz vor zukünftigen Marktleistungen, sodass Sie Ihre Investition ganz oder teilweise verlieren könnten.</w:t>
      </w:r>
      <w:r>
        <w:rPr xmlns:w="http://schemas.openxmlformats.org/wordprocessingml/2006/main">
          <w:rFonts w:ascii="Arial" w:cs="Arial" w:eastAsia="Arial" w:hAnsi="Arial"/>
          <w:sz w:val="18"/>
          <w:szCs w:val="18"/>
          <w:color w:val="auto"/>
        </w:rPr>
        <w:t xml:space="preserve"> Wenn wir Ihnen nicht bezahlen können, was Ihnen geschuldet wird, können Sie Ihre gesamte Investition verlieren.</w:t>
      </w:r>
    </w:p>
    <w:p>
      <w:pPr>
        <w:spacing w:after="0" w:line="85" w:lineRule="exact"/>
        <w:rPr>
          <w:sz w:val="20"/>
          <w:szCs w:val="20"/>
          <w:color w:val="auto"/>
        </w:rPr>
      </w:pPr>
    </w:p>
    <w:p>
      <w:pPr xmlns:w="http://schemas.openxmlformats.org/wordprocessingml/2006/main">
        <w:jc w:val="both"/>
        <w:ind w:right="120"/>
        <w:spacing w:after="0" w:line="285" w:lineRule="auto"/>
        <w:rPr>
          <w:sz w:val="20"/>
          <w:szCs w:val="20"/>
          <w:color w:val="auto"/>
        </w:rPr>
      </w:pPr>
      <w:r>
        <w:rPr xmlns:w="http://schemas.openxmlformats.org/wordprocessingml/2006/main">
          <w:rFonts w:ascii="Arial" w:cs="Arial" w:eastAsia="Arial" w:hAnsi="Arial"/>
          <w:sz w:val="18"/>
          <w:szCs w:val="18"/>
          <w:b w:val="1"/>
          <w:bCs w:val="1"/>
          <w:color w:val="auto"/>
        </w:rPr>
        <w:t xml:space="preserve">Seien Sie sich des Währungsrisikos bewusst.</w:t>
      </w:r>
      <w:r>
        <w:rPr xmlns:w="http://schemas.openxmlformats.org/wordprocessingml/2006/main">
          <w:rFonts w:ascii="Arial" w:cs="Arial" w:eastAsia="Arial" w:hAnsi="Arial"/>
          <w:sz w:val="18"/>
          <w:szCs w:val="18"/>
          <w:color w:val="auto"/>
        </w:rPr>
        <w:t xml:space="preserve"> Wenn Sie Zahlungen in einer anderen Währung als der Ihres Heimatlandes erhalten, hängt die endgültige Rendite, die Sie erhalten, vom Wechselkurs zwischen den beiden Währungen ab.</w:t>
      </w:r>
      <w:r>
        <w:rPr xmlns:w="http://schemas.openxmlformats.org/wordprocessingml/2006/main">
          <w:rFonts w:ascii="Arial" w:cs="Arial" w:eastAsia="Arial" w:hAnsi="Arial"/>
          <w:sz w:val="18"/>
          <w:szCs w:val="18"/>
          <w:color w:val="auto"/>
        </w:rPr>
        <w:t xml:space="preserve"> Dieses Risiko besteht nicht</w:t>
      </w:r>
    </w:p>
    <w:p>
      <w:pPr>
        <w:sectPr>
          <w:pgSz w:w="12240" w:h="16037" w:orient="portrait"/>
          <w:cols w:equalWidth="0" w:num="1">
            <w:col w:w="9480"/>
          </w:cols>
          <w:pgMar w:left="1440" w:top="559" w:right="1320" w:bottom="0" w:gutter="0" w:footer="0" w:header="0"/>
        </w:sectPr>
      </w:pPr>
    </w:p>
    <w:p>
      <w:pPr>
        <w:spacing w:after="0" w:line="1" w:lineRule="exact"/>
        <w:rPr>
          <w:sz w:val="20"/>
          <w:szCs w:val="20"/>
          <w:color w:val="auto"/>
        </w:rPr>
      </w:pPr>
    </w:p>
    <w:p>
      <w:pPr xmlns:w="http://schemas.openxmlformats.org/wordprocessingml/2006/main">
        <w:ind w:right="20"/>
        <w:spacing w:after="0" w:line="379" w:lineRule="auto"/>
        <w:rPr>
          <w:sz w:val="20"/>
          <w:szCs w:val="20"/>
          <w:color w:val="auto"/>
        </w:rPr>
      </w:pPr>
      <w:r>
        <w:rPr xmlns:w="http://schemas.openxmlformats.org/wordprocessingml/2006/main">
          <w:rFonts w:ascii="Arial" w:cs="Arial" w:eastAsia="Arial" w:hAnsi="Arial"/>
          <w:sz w:val="18"/>
          <w:szCs w:val="18"/>
          <w:color w:val="auto"/>
        </w:rPr>
        <w:t xml:space="preserve">in dem oben dargestellten Indikator berücksichtigt.</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b w:val="1"/>
          <w:bCs w:val="1"/>
          <w:color w:val="auto"/>
        </w:rPr>
        <w:t xml:space="preserve">Leistungsszenarien</w:t>
      </w:r>
    </w:p>
    <w:p>
      <w:pPr>
        <w:spacing w:after="0" w:line="1" w:lineRule="exact"/>
        <w:rPr>
          <w:sz w:val="20"/>
          <w:szCs w:val="20"/>
          <w:color w:val="auto"/>
        </w:rPr>
      </w:pPr>
    </w:p>
    <w:p>
      <w:pPr xmlns:w="http://schemas.openxmlformats.org/wordprocessingml/2006/main">
        <w:jc w:val="both"/>
        <w:spacing w:after="0" w:line="260" w:lineRule="auto"/>
        <w:rPr>
          <w:sz w:val="20"/>
          <w:szCs w:val="20"/>
          <w:color w:val="auto"/>
        </w:rPr>
      </w:pPr>
      <w:r>
        <w:rPr xmlns:w="http://schemas.openxmlformats.org/wordprocessingml/2006/main">
          <w:rFonts w:ascii="Arial" w:cs="Arial" w:eastAsia="Arial" w:hAnsi="Arial"/>
          <w:sz w:val="18"/>
          <w:szCs w:val="18"/>
          <w:color w:val="auto"/>
        </w:rPr>
        <w:t xml:space="preserve">Die angezeigten Zahlen enthalten alle Kosten des Produkts selbst, aber möglicherweise nicht alle Kosten, die Sie an Ihren Berater oder Händler oder Makler zahlen.</w:t>
      </w:r>
      <w:r>
        <w:rPr xmlns:w="http://schemas.openxmlformats.org/wordprocessingml/2006/main">
          <w:rFonts w:ascii="Arial" w:cs="Arial" w:eastAsia="Arial" w:hAnsi="Arial"/>
          <w:sz w:val="18"/>
          <w:szCs w:val="18"/>
          <w:color w:val="auto"/>
        </w:rPr>
        <w:t xml:space="preserve"> Die Zahlen berücksichtigen nicht Ihre persönliche Steuersituation, die sich darauf auswirken kann, wie viel Sie zurückbekommen.</w:t>
      </w:r>
    </w:p>
    <w:p>
      <w:pPr>
        <w:spacing w:after="0" w:line="89" w:lineRule="exact"/>
        <w:rPr>
          <w:sz w:val="20"/>
          <w:szCs w:val="20"/>
          <w:color w:val="auto"/>
        </w:rPr>
      </w:pPr>
    </w:p>
    <w:p>
      <w:pPr xmlns:w="http://schemas.openxmlformats.org/wordprocessingml/2006/main">
        <w:jc w:val="both"/>
        <w:spacing w:after="0" w:line="266" w:lineRule="auto"/>
        <w:rPr>
          <w:sz w:val="20"/>
          <w:szCs w:val="20"/>
          <w:color w:val="auto"/>
        </w:rPr>
      </w:pPr>
      <w:r>
        <w:rPr xmlns:w="http://schemas.openxmlformats.org/wordprocessingml/2006/main">
          <w:rFonts w:ascii="Arial" w:cs="Arial" w:eastAsia="Arial" w:hAnsi="Arial"/>
          <w:sz w:val="18"/>
          <w:szCs w:val="18"/>
          <w:color w:val="auto"/>
        </w:rPr>
        <w:t xml:space="preserve">Diese Tabelle zeigt das Geld, das Sie über die empfohlene Haltedauer in verschiedenen Szenarien zurückerhalten könnten, vorausgesetzt, Sie investieren 10.000 US-Dollar.</w:t>
      </w:r>
    </w:p>
    <w:p>
      <w:pPr>
        <w:spacing w:after="0" w:line="7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Die dargestellten Szenarien veranschaulichen, wie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Investition $ 10.000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3697605" cy="17513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3697605" cy="1751330"/>
                    </a:xfrm>
                    <a:prstGeom prst="rect">
                      <a:avLst/>
                    </a:prstGeom>
                    <a:noFill/>
                  </pic:spPr>
                </pic:pic>
              </a:graphicData>
            </a:graphic>
          </wp:anchor>
        </w:drawing>
      </w:r>
    </w:p>
    <w:p>
      <w:pPr>
        <w:spacing w:after="0" w:line="22"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360" w:type="dxa"/>
            <w:vAlign w:val="bottom"/>
            <w:tcBorders>
              <w:top w:val="single" w:sz="8" w:color="7F7F7F"/>
              <w:right w:val="single" w:sz="8" w:color="7F7F7F"/>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Szenario</w:t>
            </w:r>
          </w:p>
        </w:tc>
        <w:tc>
          <w:tcPr>
            <w:tcW w:w="3060" w:type="dxa"/>
            <w:vAlign w:val="bottom"/>
            <w:tcBorders>
              <w:top w:val="single" w:sz="8" w:color="7F7F7F"/>
              <w:right w:val="single" w:sz="8" w:color="7F7F7F"/>
            </w:tcBorders>
          </w:tcPr>
          <w:p>
            <w:pPr>
              <w:spacing w:after="0"/>
              <w:rPr>
                <w:sz w:val="17"/>
                <w:szCs w:val="17"/>
                <w:color w:val="auto"/>
              </w:rPr>
            </w:pPr>
          </w:p>
        </w:tc>
        <w:tc>
          <w:tcPr>
            <w:tcW w:w="1420" w:type="dxa"/>
            <w:vAlign w:val="bottom"/>
            <w:tcBorders>
              <w:top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Ein (1) Tag</w:t>
            </w:r>
          </w:p>
        </w:tc>
        <w:tc>
          <w:tcPr>
            <w:tcW w:w="0" w:type="dxa"/>
            <w:vAlign w:val="bottom"/>
          </w:tcPr>
          <w:p>
            <w:pPr>
              <w:spacing w:after="0"/>
              <w:rPr>
                <w:sz w:val="1"/>
                <w:szCs w:val="1"/>
                <w:color w:val="auto"/>
              </w:rPr>
            </w:pPr>
          </w:p>
        </w:tc>
      </w:tr>
      <w:tr>
        <w:trPr>
          <w:trHeight w:val="202"/>
        </w:trPr>
        <w:tc>
          <w:tcPr>
            <w:tcW w:w="1360" w:type="dxa"/>
            <w:vAlign w:val="bottom"/>
            <w:tcBorders>
              <w:right w:val="single" w:sz="8" w:color="7F7F7F"/>
            </w:tcBorders>
            <w:vMerge w:val="continue"/>
          </w:tcPr>
          <w:p>
            <w:pPr>
              <w:spacing w:after="0"/>
              <w:rPr>
                <w:sz w:val="17"/>
                <w:szCs w:val="17"/>
                <w:color w:val="auto"/>
              </w:rPr>
            </w:pPr>
          </w:p>
        </w:tc>
        <w:tc>
          <w:tcPr>
            <w:tcW w:w="3060" w:type="dxa"/>
            <w:vAlign w:val="bottom"/>
            <w:tcBorders>
              <w:right w:val="single" w:sz="8" w:color="7F7F7F"/>
            </w:tcBorders>
          </w:tcPr>
          <w:p>
            <w:pPr>
              <w:spacing w:after="0"/>
              <w:rPr>
                <w:sz w:val="17"/>
                <w:szCs w:val="17"/>
                <w:color w:val="auto"/>
              </w:rPr>
            </w:pPr>
          </w:p>
        </w:tc>
        <w:tc>
          <w:tcPr>
            <w:tcW w:w="1420" w:type="dxa"/>
            <w:vAlign w:val="bottom"/>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(Empfohlen</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w:spacing w:after="0"/>
              <w:rPr>
                <w:sz w:val="18"/>
                <w:szCs w:val="18"/>
                <w:color w:val="auto"/>
              </w:rPr>
            </w:pPr>
          </w:p>
        </w:tc>
        <w:tc>
          <w:tcPr>
            <w:tcW w:w="3060" w:type="dxa"/>
            <w:vAlign w:val="bottom"/>
            <w:tcBorders>
              <w:bottom w:val="single" w:sz="8" w:color="7F7F7F"/>
              <w:right w:val="single" w:sz="8" w:color="7F7F7F"/>
            </w:tcBorders>
          </w:tcPr>
          <w:p>
            <w:pPr>
              <w:spacing w:after="0"/>
              <w:rPr>
                <w:sz w:val="18"/>
                <w:szCs w:val="18"/>
                <w:color w:val="auto"/>
              </w:rPr>
            </w:pP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Haltedauer)</w:t>
            </w:r>
          </w:p>
        </w:tc>
        <w:tc>
          <w:tcPr>
            <w:tcW w:w="0" w:type="dxa"/>
            <w:vAlign w:val="bottom"/>
          </w:tcPr>
          <w:p>
            <w:pPr>
              <w:spacing w:after="0"/>
              <w:rPr>
                <w:sz w:val="1"/>
                <w:szCs w:val="1"/>
                <w:color w:val="auto"/>
              </w:rPr>
            </w:pPr>
          </w:p>
        </w:tc>
      </w:tr>
      <w:tr>
        <w:trPr>
          <w:trHeight w:val="211"/>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Beanspruchung</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Was Sie nach den Kosten zurückbekommen könnten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3 195,66 $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Szenario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Durchschnittliche Rendite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-68,03 %</w:t>
            </w:r>
          </w:p>
        </w:tc>
        <w:tc>
          <w:tcPr>
            <w:tcW w:w="0" w:type="dxa"/>
            <w:vAlign w:val="bottom"/>
          </w:tcPr>
          <w:p>
            <w:pPr>
              <w:spacing w:after="0"/>
              <w:rPr>
                <w:sz w:val="1"/>
                <w:szCs w:val="1"/>
                <w:color w:val="auto"/>
              </w:rPr>
            </w:pPr>
          </w:p>
        </w:tc>
      </w:tr>
      <w:tr>
        <w:trPr>
          <w:trHeight w:val="208"/>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ungünstig</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Was Sie nach den Kosten zurückbekommen könnten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8 502,11 $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Szenario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Durchschnittliche Rendite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-14,96 %</w:t>
            </w:r>
          </w:p>
        </w:tc>
        <w:tc>
          <w:tcPr>
            <w:tcW w:w="0" w:type="dxa"/>
            <w:vAlign w:val="bottom"/>
          </w:tcPr>
          <w:p>
            <w:pPr>
              <w:spacing w:after="0"/>
              <w:rPr>
                <w:sz w:val="1"/>
                <w:szCs w:val="1"/>
                <w:color w:val="auto"/>
              </w:rPr>
            </w:pPr>
          </w:p>
        </w:tc>
      </w:tr>
      <w:tr>
        <w:trPr>
          <w:trHeight w:val="210"/>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mittelschwer</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Was Sie nach den Kosten zurückbekommen könnten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10 070,10 $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Szenario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Durchschnittliche Rendite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0,72 %</w:t>
            </w:r>
          </w:p>
        </w:tc>
        <w:tc>
          <w:tcPr>
            <w:tcW w:w="0" w:type="dxa"/>
            <w:vAlign w:val="bottom"/>
          </w:tcPr>
          <w:p>
            <w:pPr>
              <w:spacing w:after="0"/>
              <w:rPr>
                <w:sz w:val="1"/>
                <w:szCs w:val="1"/>
                <w:color w:val="auto"/>
              </w:rPr>
            </w:pPr>
          </w:p>
        </w:tc>
      </w:tr>
      <w:tr>
        <w:trPr>
          <w:trHeight w:val="211"/>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günstig</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Was Sie nach den Kosten zurückbekommen könnten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10 769,92 $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Szenario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Durchschnittliche Rendite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7,72 %</w:t>
            </w:r>
          </w:p>
        </w:tc>
        <w:tc>
          <w:tcPr>
            <w:tcW w:w="0" w:type="dxa"/>
            <w:vAlign w:val="bottom"/>
          </w:tcPr>
          <w:p>
            <w:pPr>
              <w:spacing w:after="0"/>
              <w:rPr>
                <w:sz w:val="1"/>
                <w:szCs w:val="1"/>
                <w:color w:val="auto"/>
              </w:rPr>
            </w:pPr>
          </w:p>
        </w:tc>
      </w:tr>
    </w:tbl>
    <w:p>
      <w:pPr>
        <w:spacing w:after="0" w:line="67" w:lineRule="exact"/>
        <w:rPr>
          <w:sz w:val="20"/>
          <w:szCs w:val="20"/>
          <w:color w:val="auto"/>
        </w:rPr>
      </w:pPr>
    </w:p>
    <w:p>
      <w:pPr>
        <w:sectPr>
          <w:pgSz w:w="12240" w:h="16037" w:orient="portrait"/>
          <w:cols w:equalWidth="0" w:num="2">
            <w:col w:w="3480" w:space="180"/>
            <w:col w:w="5820"/>
          </w:cols>
          <w:pgMar w:left="1440" w:top="559" w:right="1320" w:bottom="0" w:gutter="0" w:footer="0" w:header="0"/>
          <w:type w:val="continuous"/>
        </w:sectPr>
      </w:pPr>
    </w:p>
    <w:p>
      <w:pPr xmlns:w="http://schemas.openxmlformats.org/wordprocessingml/2006/main">
        <w:jc w:val="both"/>
        <w:ind w:right="120"/>
        <w:spacing w:after="0" w:line="262" w:lineRule="auto"/>
        <w:rPr>
          <w:sz w:val="20"/>
          <w:szCs w:val="20"/>
          <w:color w:val="auto"/>
        </w:rPr>
      </w:pPr>
      <w:r>
        <w:rPr xmlns:w="http://schemas.openxmlformats.org/wordprocessingml/2006/main">
          <w:rFonts w:ascii="Arial" w:cs="Arial" w:eastAsia="Arial" w:hAnsi="Arial"/>
          <w:sz w:val="18"/>
          <w:szCs w:val="18"/>
          <w:color w:val="auto"/>
        </w:rPr>
        <w:t xml:space="preserve">Die Investitionen könnten sich positiv entwickeln.</w:t>
      </w:r>
      <w:r>
        <w:rPr xmlns:w="http://schemas.openxmlformats.org/wordprocessingml/2006/main">
          <w:rFonts w:ascii="Arial" w:cs="Arial" w:eastAsia="Arial" w:hAnsi="Arial"/>
          <w:sz w:val="18"/>
          <w:szCs w:val="18"/>
          <w:color w:val="auto"/>
        </w:rPr>
        <w:t xml:space="preserve"> Sie können sie mit den Szenarien anderer Produkte vergleichen.</w:t>
      </w:r>
      <w:r>
        <w:rPr xmlns:w="http://schemas.openxmlformats.org/wordprocessingml/2006/main">
          <w:rFonts w:ascii="Arial" w:cs="Arial" w:eastAsia="Arial" w:hAnsi="Arial"/>
          <w:sz w:val="18"/>
          <w:szCs w:val="18"/>
          <w:color w:val="auto"/>
        </w:rPr>
        <w:t xml:space="preserve"> Die dargelegten Szenarien sind eine Schätzung der künftigen Wertentwicklung auf der Grundlage von Daten aus der Vergangenheit, wie der Wert dieser Investition variiert, und sind kein genauer Indikator.</w:t>
      </w:r>
      <w:r>
        <w:rPr xmlns:w="http://schemas.openxmlformats.org/wordprocessingml/2006/main">
          <w:rFonts w:ascii="Arial" w:cs="Arial" w:eastAsia="Arial" w:hAnsi="Arial"/>
          <w:sz w:val="18"/>
          <w:szCs w:val="18"/>
          <w:color w:val="auto"/>
        </w:rPr>
        <w:t xml:space="preserve"> Was Sie erhalten, hängt davon ab, wie der Markt funktioniert und wie lange Sie die Investition halten.</w:t>
      </w:r>
      <w:r>
        <w:rPr xmlns:w="http://schemas.openxmlformats.org/wordprocessingml/2006/main">
          <w:rFonts w:ascii="Arial" w:cs="Arial" w:eastAsia="Arial" w:hAnsi="Arial"/>
          <w:sz w:val="18"/>
          <w:szCs w:val="18"/>
          <w:color w:val="auto"/>
        </w:rPr>
        <w:t xml:space="preserve"> Das Stress-Szenario zeigt, was Sie unter extremen Marktbedingungen zurückbekommen könnten, und es berücksichtigt nicht die Situation, in der wir nicht in der Lage sind, Sie zu bezahlen.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206375</wp:posOffset>
            </wp:positionV>
            <wp:extent cx="6012815" cy="228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012815" cy="228600"/>
                    </a:xfrm>
                    <a:prstGeom prst="rect">
                      <a:avLst/>
                    </a:prstGeom>
                    <a:noFill/>
                  </pic:spPr>
                </pic:pic>
              </a:graphicData>
            </a:graphic>
          </wp:anchor>
        </w:drawing>
      </w:r>
    </w:p>
    <w:p>
      <w:pPr>
        <w:spacing w:after="0" w:line="3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Was passiert, wenn GraniteShares Financial Plc nicht auszahlen kann?</w:t>
      </w:r>
    </w:p>
    <w:p>
      <w:pPr>
        <w:spacing w:after="0" w:line="158" w:lineRule="exact"/>
        <w:rPr>
          <w:sz w:val="20"/>
          <w:szCs w:val="20"/>
          <w:color w:val="auto"/>
        </w:rPr>
      </w:pPr>
    </w:p>
    <w:p>
      <w:pPr xmlns:w="http://schemas.openxmlformats.org/wordprocessingml/2006/main">
        <w:jc w:val="both"/>
        <w:ind w:right="120"/>
        <w:spacing w:after="0" w:line="289" w:lineRule="auto"/>
        <w:rPr>
          <w:sz w:val="20"/>
          <w:szCs w:val="20"/>
          <w:color w:val="auto"/>
        </w:rPr>
      </w:pPr>
      <w:r>
        <w:rPr xmlns:w="http://schemas.openxmlformats.org/wordprocessingml/2006/main">
          <w:rFonts w:ascii="Arial" w:cs="Arial" w:eastAsia="Arial" w:hAnsi="Arial"/>
          <w:sz w:val="18"/>
          <w:szCs w:val="18"/>
          <w:color w:val="auto"/>
        </w:rPr>
        <w:t xml:space="preserve">Das Produkt ist weder durch das irische Einlagensicherungssystem noch durch ein anderes Entschädigungs- oder Garantiesystem für Anleger geschützt.</w:t>
      </w:r>
      <w:r>
        <w:rPr xmlns:w="http://schemas.openxmlformats.org/wordprocessingml/2006/main">
          <w:rFonts w:ascii="Arial" w:cs="Arial" w:eastAsia="Arial" w:hAnsi="Arial"/>
          <w:sz w:val="18"/>
          <w:szCs w:val="18"/>
          <w:color w:val="auto"/>
        </w:rPr>
        <w:t xml:space="preserve"> Dies bedeutet, dass Sie Ihre gesamte Investition verlieren können, wenn GraniteShares Financial Plc nicht in der Lage ist, auszuzahlen.</w:t>
      </w:r>
      <w:r>
        <w:rPr xmlns:w="http://schemas.openxmlformats.org/wordprocessingml/2006/main">
          <w:rFonts w:ascii="Arial" w:cs="Arial" w:eastAsia="Arial" w:hAnsi="Arial"/>
          <w:sz w:val="18"/>
          <w:szCs w:val="18"/>
          <w:color w:val="auto"/>
        </w:rPr>
        <w:t xml:space="preserve"> Da die Auszahlungsfähigkeit von GraniteShares Financial Plc davon abhängt, welche Beträge der Swap-Anbieter für das Produkt schuldet, stellt der Swap-Anbieter täglich Vermögenswerte auf einem getrennten Konto als Sicherheit für solche Verpflichtungen bereit, deren Wert dem Tagespreis des Produkts entspricht oder darüber liegt.</w:t>
      </w:r>
      <w:r>
        <w:rPr xmlns:w="http://schemas.openxmlformats.org/wordprocessingml/2006/main">
          <w:rFonts w:ascii="Arial" w:cs="Arial" w:eastAsia="Arial" w:hAnsi="Arial"/>
          <w:sz w:val="18"/>
          <w:szCs w:val="18"/>
          <w:color w:val="auto"/>
        </w:rPr>
        <w:t xml:space="preserve"> Wenn der Swap-Anbieter GraniteShares Financial Plc nicht bezahlen kann, ist seine Auszahlungsfähigkeit auf die aus diesen Sicherheiten realisierten Beträge beschränkt, wie im Prospekt näher erläutert wird.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58420</wp:posOffset>
            </wp:positionV>
            <wp:extent cx="6012815" cy="2286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6012815" cy="228600"/>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Wie hoch sind die Kosten?</w:t>
      </w:r>
    </w:p>
    <w:p>
      <w:pPr>
        <w:spacing w:after="0" w:line="15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 im Zeitverlauf</w:t>
      </w:r>
    </w:p>
    <w:p>
      <w:pPr>
        <w:spacing w:after="0" w:line="83" w:lineRule="exact"/>
        <w:rPr>
          <w:sz w:val="20"/>
          <w:szCs w:val="20"/>
          <w:color w:val="auto"/>
        </w:rPr>
      </w:pPr>
    </w:p>
    <w:p>
      <w:pPr xmlns:w="http://schemas.openxmlformats.org/wordprocessingml/2006/main">
        <w:jc w:val="both"/>
        <w:ind w:right="120"/>
        <w:spacing w:after="0" w:line="230" w:lineRule="auto"/>
        <w:rPr>
          <w:sz w:val="20"/>
          <w:szCs w:val="20"/>
          <w:color w:val="auto"/>
        </w:rPr>
      </w:pPr>
      <w:r>
        <w:rPr xmlns:w="http://schemas.openxmlformats.org/wordprocessingml/2006/main">
          <w:rFonts w:ascii="Arial" w:cs="Arial" w:eastAsia="Arial" w:hAnsi="Arial"/>
          <w:sz w:val="18"/>
          <w:szCs w:val="18"/>
          <w:color w:val="auto"/>
        </w:rPr>
        <w:t xml:space="preserve">Die Ertragsminderung (RIY) verdeutlicht die Auswirkungen der Gesamtkosten, die Sie zahlen, auf Ihre Investitionsrendite.</w:t>
      </w:r>
      <w:r>
        <w:rPr xmlns:w="http://schemas.openxmlformats.org/wordprocessingml/2006/main">
          <w:rFonts w:ascii="Arial" w:cs="Arial" w:eastAsia="Arial" w:hAnsi="Arial"/>
          <w:sz w:val="18"/>
          <w:szCs w:val="18"/>
          <w:color w:val="auto"/>
        </w:rPr>
        <w:t xml:space="preserve"> Bei den Gesamtkosten wird Folgendes berücksichtigt: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2291080</wp:posOffset>
            </wp:positionH>
            <wp:positionV relativeFrom="paragraph">
              <wp:posOffset>-16510</wp:posOffset>
            </wp:positionV>
            <wp:extent cx="3725545" cy="5746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725545" cy="57467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7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Aus-, laufende und Nebenkosten.</w:t>
            </w:r>
          </w:p>
        </w:tc>
        <w:tc>
          <w:tcPr>
            <w:tcW w:w="2900" w:type="dxa"/>
            <w:vAlign w:val="bottom"/>
            <w:tcBorders>
              <w:bottom w:val="single" w:sz="8" w:color="auto"/>
            </w:tcBorders>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color w:val="auto"/>
              </w:rPr>
              <w:t xml:space="preserve">Investition $ 10.000</w:t>
            </w:r>
          </w:p>
        </w:tc>
        <w:tc>
          <w:tcPr>
            <w:tcW w:w="2980" w:type="dxa"/>
            <w:vAlign w:val="bottom"/>
            <w:tcBorders>
              <w:bottom w:val="single" w:sz="8" w:color="auto"/>
            </w:tcBorders>
            <w:gridSpan w:val="3"/>
          </w:tcPr>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8"/>
                <w:szCs w:val="18"/>
                <w:color w:val="auto"/>
              </w:rPr>
              <w:t xml:space="preserve">Wenn Sie nach einem (1) Tag einlösen</w:t>
            </w:r>
          </w:p>
        </w:tc>
        <w:tc>
          <w:tcPr>
            <w:tcW w:w="0" w:type="dxa"/>
            <w:vAlign w:val="bottom"/>
          </w:tcPr>
          <w:p>
            <w:pPr>
              <w:spacing w:after="0"/>
              <w:rPr>
                <w:sz w:val="1"/>
                <w:szCs w:val="1"/>
                <w:color w:val="auto"/>
              </w:rPr>
            </w:pPr>
          </w:p>
        </w:tc>
      </w:tr>
      <w:tr>
        <w:trPr>
          <w:trHeight w:val="243"/>
        </w:trPr>
        <w:tc>
          <w:tcPr>
            <w:tcW w:w="36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Die hier angegebenen Beträge sind</w:t>
            </w:r>
          </w:p>
        </w:tc>
        <w:tc>
          <w:tcPr>
            <w:tcW w:w="290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Gesamtkosten</w:t>
            </w:r>
          </w:p>
        </w:tc>
        <w:tc>
          <w:tcPr>
            <w:tcW w:w="2960" w:type="dxa"/>
            <w:vAlign w:val="bottom"/>
            <w:gridSpan w:val="2"/>
          </w:tcPr>
          <w:p>
            <w:pPr xmlns:w="http://schemas.openxmlformats.org/wordprocessingml/2006/main">
              <w:jc w:val="right"/>
              <w:ind w:right="100"/>
              <w:spacing w:after="0"/>
              <w:rPr>
                <w:sz w:val="20"/>
                <w:szCs w:val="20"/>
                <w:color w:val="auto"/>
              </w:rPr>
            </w:pPr>
            <w:r>
              <w:rPr xmlns:w="http://schemas.openxmlformats.org/wordprocessingml/2006/main">
                <w:rFonts w:ascii="Arial" w:cs="Arial" w:eastAsia="Arial" w:hAnsi="Arial"/>
                <w:sz w:val="18"/>
                <w:szCs w:val="18"/>
                <w:color w:val="auto"/>
              </w:rPr>
              <w:t xml:space="preserve">1,70 $</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5"/>
        </w:trPr>
        <w:tc>
          <w:tcPr>
            <w:tcW w:w="3600" w:type="dxa"/>
            <w:vAlign w:val="bottom"/>
            <w:vMerge w:val="continue"/>
          </w:tcPr>
          <w:p>
            <w:pPr>
              <w:spacing w:after="0"/>
              <w:rPr>
                <w:sz w:val="3"/>
                <w:szCs w:val="3"/>
                <w:color w:val="auto"/>
              </w:rPr>
            </w:pPr>
          </w:p>
        </w:tc>
        <w:tc>
          <w:tcPr>
            <w:tcW w:w="2360" w:type="dxa"/>
            <w:vAlign w:val="bottom"/>
            <w:tcBorders>
              <w:bottom w:val="single" w:sz="8" w:color="auto"/>
            </w:tcBorders>
          </w:tcPr>
          <w:p>
            <w:pPr>
              <w:spacing w:after="0"/>
              <w:rPr>
                <w:sz w:val="3"/>
                <w:szCs w:val="3"/>
                <w:color w:val="auto"/>
              </w:rPr>
            </w:pPr>
          </w:p>
        </w:tc>
        <w:tc>
          <w:tcPr>
            <w:tcW w:w="540" w:type="dxa"/>
            <w:vAlign w:val="bottom"/>
            <w:tcBorders>
              <w:bottom w:val="single" w:sz="8" w:color="auto"/>
            </w:tcBorders>
          </w:tcPr>
          <w:p>
            <w:pPr>
              <w:spacing w:after="0"/>
              <w:rPr>
                <w:sz w:val="3"/>
                <w:szCs w:val="3"/>
                <w:color w:val="auto"/>
              </w:rPr>
            </w:pPr>
          </w:p>
        </w:tc>
        <w:tc>
          <w:tcPr>
            <w:tcW w:w="1860" w:type="dxa"/>
            <w:vAlign w:val="bottom"/>
            <w:tcBorders>
              <w:bottom w:val="single" w:sz="8" w:color="auto"/>
            </w:tcBorders>
          </w:tcPr>
          <w:p>
            <w:pPr>
              <w:spacing w:after="0"/>
              <w:rPr>
                <w:sz w:val="3"/>
                <w:szCs w:val="3"/>
                <w:color w:val="auto"/>
              </w:rPr>
            </w:pPr>
          </w:p>
        </w:tc>
        <w:tc>
          <w:tcPr>
            <w:tcW w:w="1100" w:type="dxa"/>
            <w:vAlign w:val="bottom"/>
            <w:tcBorders>
              <w:bottom w:val="single" w:sz="8" w:color="auto"/>
            </w:tcBorders>
          </w:tcPr>
          <w:p>
            <w:pPr>
              <w:spacing w:after="0"/>
              <w:rPr>
                <w:sz w:val="3"/>
                <w:szCs w:val="3"/>
                <w:color w:val="auto"/>
              </w:rPr>
            </w:pPr>
          </w:p>
        </w:tc>
        <w:tc>
          <w:tcPr>
            <w:tcW w:w="4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kumulative Kosten des Produkts selbst,</w:t>
            </w:r>
          </w:p>
        </w:tc>
        <w:tc>
          <w:tcPr>
            <w:tcW w:w="290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color w:val="auto"/>
              </w:rPr>
              <w:t xml:space="preserve">Auswirkungen auf die Rückkehr (RIY) pro Jahr</w:t>
            </w:r>
          </w:p>
        </w:tc>
        <w:tc>
          <w:tcPr>
            <w:tcW w:w="2960" w:type="dxa"/>
            <w:vAlign w:val="bottom"/>
            <w:gridSpan w:val="2"/>
          </w:tcPr>
          <w:p>
            <w:pPr xmlns:w="http://schemas.openxmlformats.org/wordprocessingml/2006/main">
              <w:jc w:val="right"/>
              <w:ind w:right="100"/>
              <w:spacing w:after="0"/>
              <w:rPr>
                <w:sz w:val="20"/>
                <w:szCs w:val="20"/>
                <w:color w:val="auto"/>
              </w:rPr>
            </w:pPr>
            <w:r>
              <w:rPr xmlns:w="http://schemas.openxmlformats.org/wordprocessingml/2006/main">
                <w:rFonts w:ascii="Arial" w:cs="Arial" w:eastAsia="Arial" w:hAnsi="Arial"/>
                <w:sz w:val="18"/>
                <w:szCs w:val="18"/>
                <w:color w:val="auto"/>
              </w:rPr>
              <w:t xml:space="preserve">6,19 %</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6"/>
        </w:trPr>
        <w:tc>
          <w:tcPr>
            <w:tcW w:w="36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für die empfohlene Haltedauer,</w:t>
            </w:r>
          </w:p>
        </w:tc>
        <w:tc>
          <w:tcPr>
            <w:tcW w:w="2360" w:type="dxa"/>
            <w:vAlign w:val="bottom"/>
            <w:tcBorders>
              <w:bottom w:val="single" w:sz="8" w:color="auto"/>
            </w:tcBorders>
          </w:tcPr>
          <w:p>
            <w:pPr>
              <w:spacing w:after="0"/>
              <w:rPr>
                <w:sz w:val="4"/>
                <w:szCs w:val="4"/>
                <w:color w:val="auto"/>
              </w:rPr>
            </w:pPr>
          </w:p>
        </w:tc>
        <w:tc>
          <w:tcPr>
            <w:tcW w:w="540" w:type="dxa"/>
            <w:vAlign w:val="bottom"/>
            <w:tcBorders>
              <w:bottom w:val="single" w:sz="8" w:color="auto"/>
            </w:tcBorders>
          </w:tcPr>
          <w:p>
            <w:pPr>
              <w:spacing w:after="0"/>
              <w:rPr>
                <w:sz w:val="4"/>
                <w:szCs w:val="4"/>
                <w:color w:val="auto"/>
              </w:rPr>
            </w:pPr>
          </w:p>
        </w:tc>
        <w:tc>
          <w:tcPr>
            <w:tcW w:w="1860" w:type="dxa"/>
            <w:vAlign w:val="bottom"/>
            <w:tcBorders>
              <w:bottom w:val="single" w:sz="8" w:color="auto"/>
            </w:tcBorders>
          </w:tcPr>
          <w:p>
            <w:pPr>
              <w:spacing w:after="0"/>
              <w:rPr>
                <w:sz w:val="4"/>
                <w:szCs w:val="4"/>
                <w:color w:val="auto"/>
              </w:rPr>
            </w:pPr>
          </w:p>
        </w:tc>
        <w:tc>
          <w:tcPr>
            <w:tcW w:w="110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3600" w:type="dxa"/>
            <w:vAlign w:val="bottom"/>
            <w:vMerge w:val="continue"/>
          </w:tcPr>
          <w:p>
            <w:pPr>
              <w:spacing w:after="0"/>
              <w:rPr>
                <w:sz w:val="14"/>
                <w:szCs w:val="14"/>
                <w:color w:val="auto"/>
              </w:rPr>
            </w:pPr>
          </w:p>
        </w:tc>
        <w:tc>
          <w:tcPr>
            <w:tcW w:w="23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4"/>
        </w:trPr>
        <w:tc>
          <w:tcPr>
            <w:tcW w:w="36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
        </w:trPr>
        <w:tc>
          <w:tcPr>
            <w:tcW w:w="3600" w:type="dxa"/>
            <w:vAlign w:val="bottom"/>
            <w:tcBorders>
              <w:bottom w:val="single" w:sz="8" w:color="969696"/>
            </w:tcBorders>
          </w:tcPr>
          <w:p>
            <w:pPr>
              <w:spacing w:after="0"/>
              <w:rPr>
                <w:sz w:val="2"/>
                <w:szCs w:val="2"/>
                <w:color w:val="auto"/>
              </w:rPr>
            </w:pPr>
          </w:p>
        </w:tc>
        <w:tc>
          <w:tcPr>
            <w:tcW w:w="2360" w:type="dxa"/>
            <w:vAlign w:val="bottom"/>
            <w:tcBorders>
              <w:bottom w:val="single" w:sz="8" w:color="969696"/>
            </w:tcBorders>
          </w:tcPr>
          <w:p>
            <w:pPr>
              <w:spacing w:after="0"/>
              <w:rPr>
                <w:sz w:val="2"/>
                <w:szCs w:val="2"/>
                <w:color w:val="auto"/>
              </w:rPr>
            </w:pPr>
          </w:p>
        </w:tc>
        <w:tc>
          <w:tcPr>
            <w:tcW w:w="540" w:type="dxa"/>
            <w:vAlign w:val="bottom"/>
            <w:tcBorders>
              <w:bottom w:val="single" w:sz="8" w:color="969696"/>
            </w:tcBorders>
          </w:tcPr>
          <w:p>
            <w:pPr>
              <w:spacing w:after="0"/>
              <w:rPr>
                <w:sz w:val="2"/>
                <w:szCs w:val="2"/>
                <w:color w:val="auto"/>
              </w:rPr>
            </w:pPr>
          </w:p>
        </w:tc>
        <w:tc>
          <w:tcPr>
            <w:tcW w:w="1860" w:type="dxa"/>
            <w:vAlign w:val="bottom"/>
            <w:tcBorders>
              <w:bottom w:val="single" w:sz="8" w:color="969696"/>
            </w:tcBorders>
          </w:tcPr>
          <w:p>
            <w:pPr>
              <w:spacing w:after="0"/>
              <w:rPr>
                <w:sz w:val="2"/>
                <w:szCs w:val="2"/>
                <w:color w:val="auto"/>
              </w:rPr>
            </w:pPr>
          </w:p>
        </w:tc>
        <w:tc>
          <w:tcPr>
            <w:tcW w:w="1100" w:type="dxa"/>
            <w:vAlign w:val="bottom"/>
            <w:tcBorders>
              <w:bottom w:val="single" w:sz="8" w:color="969696"/>
            </w:tcBorders>
          </w:tcPr>
          <w:p>
            <w:pPr>
              <w:spacing w:after="0"/>
              <w:rPr>
                <w:sz w:val="2"/>
                <w:szCs w:val="2"/>
                <w:color w:val="auto"/>
              </w:rPr>
            </w:pPr>
          </w:p>
        </w:tc>
        <w:tc>
          <w:tcPr>
            <w:tcW w:w="40" w:type="dxa"/>
            <w:vAlign w:val="bottom"/>
            <w:tcBorders>
              <w:bottom w:val="single" w:sz="8" w:color="969696"/>
            </w:tcBorders>
          </w:tcPr>
          <w:p>
            <w:pPr>
              <w:spacing w:after="0"/>
              <w:rPr>
                <w:sz w:val="2"/>
                <w:szCs w:val="2"/>
                <w:color w:val="auto"/>
              </w:rPr>
            </w:pPr>
          </w:p>
        </w:tc>
        <w:tc>
          <w:tcPr>
            <w:tcW w:w="0" w:type="dxa"/>
            <w:vAlign w:val="bottom"/>
          </w:tcPr>
          <w:p>
            <w:pPr>
              <w:spacing w:after="0"/>
              <w:rPr>
                <w:sz w:val="1"/>
                <w:szCs w:val="1"/>
                <w:color w:val="auto"/>
              </w:rPr>
            </w:pPr>
          </w:p>
        </w:tc>
      </w:tr>
      <w:tr>
        <w:trPr>
          <w:trHeight w:val="239"/>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w:t>
            </w:r>
            <w:r>
              <w:rPr xmlns:w="http://schemas.openxmlformats.org/wordprocessingml/2006/main">
                <w:rFonts w:ascii="Arial" w:cs="Arial" w:eastAsia="Arial" w:hAnsi="Arial"/>
                <w:sz w:val="16"/>
                <w:szCs w:val="16"/>
                <w:color w:val="auto"/>
              </w:rPr>
              <w:t xml:space="preserve"> Stock</w:t>
            </w:r>
          </w:p>
        </w:tc>
        <w:tc>
          <w:tcPr>
            <w:tcW w:w="2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860" w:type="dxa"/>
            <w:vAlign w:val="bottom"/>
          </w:tcPr>
          <w:p>
            <w:pPr xmlns:w="http://schemas.openxmlformats.org/wordprocessingml/2006/main">
              <w:jc w:val="right"/>
              <w:ind w:right="54"/>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167-169 Great Portland St</w:t>
            </w:r>
          </w:p>
        </w:tc>
        <w:tc>
          <w:tcPr>
            <w:tcW w:w="2360" w:type="dxa"/>
            <w:vAlign w:val="bottom"/>
          </w:tcPr>
          <w:p>
            <w:pPr>
              <w:spacing w:after="0"/>
              <w:rPr>
                <w:sz w:val="18"/>
                <w:szCs w:val="18"/>
                <w:color w:val="auto"/>
              </w:rPr>
            </w:pPr>
          </w:p>
        </w:tc>
        <w:tc>
          <w:tcPr>
            <w:tcW w:w="2400" w:type="dxa"/>
            <w:vAlign w:val="bottom"/>
            <w:gridSpan w:val="2"/>
          </w:tcPr>
          <w:p>
            <w:pPr xmlns:w="http://schemas.openxmlformats.org/wordprocessingml/2006/main">
              <w:jc w:val="right"/>
              <w:ind w:right="54"/>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London W1W 5PF</w:t>
            </w:r>
          </w:p>
        </w:tc>
        <w:tc>
          <w:tcPr>
            <w:tcW w:w="2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860" w:type="dxa"/>
            <w:vAlign w:val="bottom"/>
          </w:tcPr>
          <w:p>
            <w:pPr xmlns:w="http://schemas.openxmlformats.org/wordprocessingml/2006/main">
              <w:jc w:val="right"/>
              <w:ind w:right="54"/>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3600" w:type="dxa"/>
            <w:vAlign w:val="bottom"/>
          </w:tcPr>
          <w:p>
            <w:pPr>
              <w:spacing w:after="0"/>
              <w:rPr>
                <w:sz w:val="21"/>
                <w:szCs w:val="21"/>
                <w:color w:val="auto"/>
              </w:rPr>
            </w:pPr>
          </w:p>
        </w:tc>
        <w:tc>
          <w:tcPr>
            <w:tcW w:w="23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5285105</wp:posOffset>
            </wp:positionH>
            <wp:positionV relativeFrom="paragraph">
              <wp:posOffset>-524510</wp:posOffset>
            </wp:positionV>
            <wp:extent cx="814705" cy="4997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p>
      <w:pPr>
        <w:sectPr>
          <w:pgSz w:w="12240" w:h="16037" w:orient="portrait"/>
          <w:cols w:equalWidth="0" w:num="1">
            <w:col w:w="9480"/>
          </w:cols>
          <w:pgMar w:left="1440" w:top="559" w:right="1320" w:bottom="0" w:gutter="0" w:footer="0" w:header="0"/>
          <w:type w:val="continuous"/>
        </w:sectPr>
      </w:pPr>
    </w:p>
    <w:bookmarkStart w:id="2" w:name="page3"/>
    <w:bookmarkEnd w:id="2"/>
    <w:p>
      <w:pPr>
        <w:spacing w:after="0" w:line="19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940" w:right="1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GraniteShares 3x Short Tesla Daily ETP Key Information Document</w:t>
      </w:r>
    </w:p>
    <w:p>
      <w:pPr>
        <w:spacing w:after="0" w:line="17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Und nehmen wir an, Sie investieren 10.000 Dollar.</w:t>
      </w:r>
      <w:r>
        <w:rPr xmlns:w="http://schemas.openxmlformats.org/wordprocessingml/2006/main">
          <w:rFonts w:ascii="Arial" w:cs="Arial" w:eastAsia="Arial" w:hAnsi="Arial"/>
          <w:sz w:val="18"/>
          <w:szCs w:val="18"/>
          <w:color w:val="auto"/>
        </w:rPr>
        <w:t xml:space="preserve"> Die Zahlen sind Schätzungen und können sich in Zukunft ändern.</w:t>
      </w:r>
    </w:p>
    <w:p>
      <w:pPr>
        <w:spacing w:after="0" w:line="132" w:lineRule="exact"/>
        <w:rPr>
          <w:sz w:val="20"/>
          <w:szCs w:val="20"/>
          <w:color w:val="auto"/>
        </w:rPr>
      </w:pPr>
    </w:p>
    <w:p>
      <w:pPr xmlns:w="http://schemas.openxmlformats.org/wordprocessingml/2006/main">
        <w:jc w:val="both"/>
        <w:ind w:left="100" w:right="120"/>
        <w:spacing w:after="0" w:line="282" w:lineRule="auto"/>
        <w:rPr>
          <w:sz w:val="20"/>
          <w:szCs w:val="20"/>
          <w:color w:val="auto"/>
        </w:rPr>
      </w:pPr>
      <w:r>
        <w:rPr xmlns:w="http://schemas.openxmlformats.org/wordprocessingml/2006/main">
          <w:rFonts w:ascii="Arial" w:cs="Arial" w:eastAsia="Arial" w:hAnsi="Arial"/>
          <w:sz w:val="18"/>
          <w:szCs w:val="18"/>
          <w:color w:val="auto"/>
        </w:rPr>
        <w:t xml:space="preserve">Die Person, die Sie verkauft oder Sie über dieses Produkt berät, kann Ihnen weitere Kosten in Rechnung stellen.</w:t>
      </w:r>
      <w:r>
        <w:rPr xmlns:w="http://schemas.openxmlformats.org/wordprocessingml/2006/main">
          <w:rFonts w:ascii="Arial" w:cs="Arial" w:eastAsia="Arial" w:hAnsi="Arial"/>
          <w:sz w:val="18"/>
          <w:szCs w:val="18"/>
          <w:color w:val="auto"/>
        </w:rPr>
        <w:t xml:space="preserve"> Wenn ja, wird diese Person Ihnen Informationen über diese Kosten geben und Ihnen zeigen, welche Auswirkungen alle Kosten im Laufe der Zeit auf Ihre Investition haben werden.</w:t>
      </w:r>
    </w:p>
    <w:p>
      <w:pPr>
        <w:spacing w:after="0" w:line="310"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Zusammensetzung der Kosten</w:t>
      </w:r>
    </w:p>
    <w:p>
      <w:pPr>
        <w:spacing w:after="0" w:line="141"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Die folgende Tabelle zeigt:</w:t>
      </w:r>
    </w:p>
    <w:p>
      <w:pPr>
        <w:spacing w:after="0" w:line="14" w:lineRule="exact"/>
        <w:rPr>
          <w:sz w:val="20"/>
          <w:szCs w:val="20"/>
          <w:color w:val="auto"/>
        </w:rPr>
      </w:pPr>
    </w:p>
    <w:p>
      <w:pPr xmlns:w="http://schemas.openxmlformats.org/wordprocessingml/2006/main">
        <w:ind w:left="820" w:right="260" w:hanging="360"/>
        <w:spacing w:after="0" w:line="256" w:lineRule="auto"/>
        <w:tabs>
          <w:tab w:leader="none" w:pos="820" w:val="left"/>
        </w:tabs>
        <w:numPr>
          <w:ilvl w:val="0"/>
          <w:numId w:val="1"/>
        </w:numPr>
        <w:rPr>
          <w:rFonts w:ascii="Calibri" w:cs="Calibri" w:eastAsia="Calibri" w:hAnsi="Calibri"/>
          <w:sz w:val="18"/>
          <w:szCs w:val="18"/>
          <w:color w:val="auto"/>
        </w:rPr>
      </w:pPr>
      <w:r>
        <w:rPr xmlns:w="http://schemas.openxmlformats.org/wordprocessingml/2006/main">
          <w:rFonts w:ascii="Arial" w:cs="Arial" w:eastAsia="Arial" w:hAnsi="Arial"/>
          <w:sz w:val="18"/>
          <w:szCs w:val="18"/>
          <w:color w:val="auto"/>
        </w:rPr>
        <w:t xml:space="preserve">die jährlichen Auswirkungen der verschiedenen Kostenarten auf die Kapitalrendite, die Sie am Ende der empfohlenen Haltedauer erhalten könnten;</w:t>
      </w:r>
    </w:p>
    <w:p>
      <w:pPr xmlns:w="http://schemas.openxmlformats.org/wordprocessingml/2006/main">
        <w:ind w:left="820" w:hanging="362"/>
        <w:spacing w:after="0"/>
        <w:tabs>
          <w:tab w:leader="none" w:pos="820" w:val="left"/>
        </w:tabs>
        <w:numPr>
          <w:ilvl w:val="0"/>
          <w:numId w:val="1"/>
        </w:numPr>
        <w:rPr>
          <w:rFonts w:ascii="Calibri" w:cs="Calibri" w:eastAsia="Calibri" w:hAnsi="Calibri"/>
          <w:sz w:val="18"/>
          <w:szCs w:val="18"/>
          <w:color w:val="auto"/>
        </w:rPr>
      </w:pPr>
      <w:r>
        <w:rPr xmlns:w="http://schemas.openxmlformats.org/wordprocessingml/2006/main">
          <w:rFonts w:ascii="Arial" w:cs="Arial" w:eastAsia="Arial" w:hAnsi="Arial"/>
          <w:sz w:val="18"/>
          <w:szCs w:val="18"/>
          <w:color w:val="auto"/>
        </w:rPr>
        <w:t xml:space="preserve">Die Bedeutung der verschiedenen Kostenkategorien.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95250</wp:posOffset>
                </wp:positionV>
                <wp:extent cx="6062345"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623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pt,7.5pt" to="477.65pt,7.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6985</wp:posOffset>
                </wp:positionH>
                <wp:positionV relativeFrom="paragraph">
                  <wp:posOffset>92075</wp:posOffset>
                </wp:positionV>
                <wp:extent cx="0" cy="252539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5pt,7.25pt" to="0.55pt,206.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6062980</wp:posOffset>
                </wp:positionH>
                <wp:positionV relativeFrom="paragraph">
                  <wp:posOffset>92075</wp:posOffset>
                </wp:positionV>
                <wp:extent cx="0" cy="252539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7.4pt,7.25pt" to="477.4pt,206.1pt" o:allowincell="f" strokecolor="#000000" strokeweight="0.4799pt"/>
            </w:pict>
          </mc:Fallback>
        </mc:AlternateContent>
      </w:r>
    </w:p>
    <w:p>
      <w:pPr>
        <w:spacing w:after="0" w:line="24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Diese Tabelle zeigt die Auswirkungen auf die Rendite pro Jahr</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331"/>
        </w:trPr>
        <w:tc>
          <w:tcPr>
            <w:tcW w:w="1100" w:type="dxa"/>
            <w:vAlign w:val="bottom"/>
            <w:tcBorders>
              <w:top w:val="single" w:sz="8" w:color="auto"/>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einmalig</w:t>
            </w:r>
          </w:p>
        </w:tc>
        <w:tc>
          <w:tcPr>
            <w:tcW w:w="1720" w:type="dxa"/>
            <w:vAlign w:val="bottom"/>
            <w:tcBorders>
              <w:top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Eintrittskosten</w:t>
            </w:r>
          </w:p>
        </w:tc>
        <w:tc>
          <w:tcPr>
            <w:tcW w:w="660" w:type="dxa"/>
            <w:vAlign w:val="bottom"/>
            <w:tcBorders>
              <w:top w:val="single" w:sz="8" w:color="auto"/>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00" w:type="dxa"/>
            <w:vAlign w:val="bottom"/>
            <w:tcBorders>
              <w:top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Die Auswirkungen der Kosten, die Sie bei der Eingabe Ihrer Investition zahlen</w:t>
            </w:r>
          </w:p>
        </w:tc>
        <w:tc>
          <w:tcPr>
            <w:tcW w:w="0" w:type="dxa"/>
            <w:vAlign w:val="bottom"/>
          </w:tcPr>
          <w:p>
            <w:pPr>
              <w:spacing w:after="0"/>
              <w:rPr>
                <w:sz w:val="1"/>
                <w:szCs w:val="1"/>
                <w:color w:val="auto"/>
              </w:rPr>
            </w:pPr>
          </w:p>
        </w:tc>
      </w:tr>
      <w:tr>
        <w:trPr>
          <w:trHeight w:val="101"/>
        </w:trPr>
        <w:tc>
          <w:tcPr>
            <w:tcW w:w="1100" w:type="dxa"/>
            <w:vAlign w:val="bottom"/>
            <w:tcBorders>
              <w:right w:val="single" w:sz="8" w:color="auto"/>
            </w:tcBorders>
            <w:vMerge w:val="continue"/>
          </w:tcPr>
          <w:p>
            <w:pPr>
              <w:spacing w:after="0"/>
              <w:rPr>
                <w:sz w:val="8"/>
                <w:szCs w:val="8"/>
                <w:color w:val="auto"/>
              </w:rPr>
            </w:pPr>
          </w:p>
        </w:tc>
        <w:tc>
          <w:tcPr>
            <w:tcW w:w="1720" w:type="dxa"/>
            <w:vAlign w:val="bottom"/>
            <w:tcBorders>
              <w:bottom w:val="single" w:sz="8" w:color="auto"/>
              <w:right w:val="single" w:sz="8" w:color="auto"/>
            </w:tcBorders>
          </w:tcPr>
          <w:p>
            <w:pPr>
              <w:spacing w:after="0"/>
              <w:rPr>
                <w:sz w:val="8"/>
                <w:szCs w:val="8"/>
                <w:color w:val="auto"/>
              </w:rPr>
            </w:pPr>
          </w:p>
        </w:tc>
        <w:tc>
          <w:tcPr>
            <w:tcW w:w="660" w:type="dxa"/>
            <w:vAlign w:val="bottom"/>
            <w:tcBorders>
              <w:bottom w:val="single" w:sz="8" w:color="auto"/>
              <w:right w:val="single" w:sz="8" w:color="auto"/>
            </w:tcBorders>
          </w:tcPr>
          <w:p>
            <w:pPr>
              <w:spacing w:after="0"/>
              <w:rPr>
                <w:sz w:val="8"/>
                <w:szCs w:val="8"/>
                <w:color w:val="auto"/>
              </w:rPr>
            </w:pPr>
          </w:p>
        </w:tc>
        <w:tc>
          <w:tcPr>
            <w:tcW w:w="6100" w:type="dxa"/>
            <w:vAlign w:val="bottom"/>
            <w:tcBorders>
              <w:bottom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1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w:t>
            </w: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Ausstiegskosten</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Auswirkungen der Kosten für den Ausstieg aus Ihrer Investition bei Fälligkeit</w:t>
            </w:r>
          </w:p>
        </w:tc>
        <w:tc>
          <w:tcPr>
            <w:tcW w:w="0" w:type="dxa"/>
            <w:vAlign w:val="bottom"/>
          </w:tcPr>
          <w:p>
            <w:pPr>
              <w:spacing w:after="0"/>
              <w:rPr>
                <w:sz w:val="1"/>
                <w:szCs w:val="1"/>
                <w:color w:val="auto"/>
              </w:rPr>
            </w:pPr>
          </w:p>
        </w:tc>
      </w:tr>
      <w:tr>
        <w:trPr>
          <w:trHeight w:val="107"/>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1100" w:type="dxa"/>
            <w:vAlign w:val="bottom"/>
            <w:tcBorders>
              <w:bottom w:val="single" w:sz="8" w:color="auto"/>
              <w:right w:val="single" w:sz="8" w:color="auto"/>
            </w:tcBorders>
          </w:tcPr>
          <w:p>
            <w:pPr>
              <w:spacing w:after="0"/>
              <w:rPr>
                <w:sz w:val="9"/>
                <w:szCs w:val="9"/>
                <w:color w:val="auto"/>
              </w:rPr>
            </w:pPr>
          </w:p>
        </w:tc>
        <w:tc>
          <w:tcPr>
            <w:tcW w:w="1720" w:type="dxa"/>
            <w:vAlign w:val="bottom"/>
            <w:tcBorders>
              <w:bottom w:val="single" w:sz="8" w:color="auto"/>
              <w:right w:val="single" w:sz="8" w:color="auto"/>
            </w:tcBorders>
          </w:tcPr>
          <w:p>
            <w:pPr>
              <w:spacing w:after="0"/>
              <w:rPr>
                <w:sz w:val="9"/>
                <w:szCs w:val="9"/>
                <w:color w:val="auto"/>
              </w:rPr>
            </w:pPr>
          </w:p>
        </w:tc>
        <w:tc>
          <w:tcPr>
            <w:tcW w:w="660" w:type="dxa"/>
            <w:vAlign w:val="bottom"/>
            <w:tcBorders>
              <w:bottom w:val="single" w:sz="8" w:color="auto"/>
              <w:right w:val="single" w:sz="8" w:color="auto"/>
            </w:tcBorders>
          </w:tcPr>
          <w:p>
            <w:pPr>
              <w:spacing w:after="0"/>
              <w:rPr>
                <w:sz w:val="9"/>
                <w:szCs w:val="9"/>
                <w:color w:val="auto"/>
              </w:rPr>
            </w:pPr>
          </w:p>
        </w:tc>
        <w:tc>
          <w:tcPr>
            <w:tcW w:w="6100" w:type="dxa"/>
            <w:vAlign w:val="bottom"/>
            <w:tcBorders>
              <w:bottom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457"/>
        </w:trPr>
        <w:tc>
          <w:tcPr>
            <w:tcW w:w="1100" w:type="dxa"/>
            <w:vAlign w:val="bottom"/>
            <w:tcBorders>
              <w:right w:val="single" w:sz="8" w:color="auto"/>
            </w:tcBorders>
          </w:tcPr>
          <w:p>
            <w:pPr>
              <w:spacing w:after="0"/>
              <w:rPr>
                <w:sz w:val="24"/>
                <w:szCs w:val="24"/>
                <w:color w:val="auto"/>
              </w:rPr>
            </w:pP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Mappe</w:t>
            </w:r>
          </w:p>
        </w:tc>
        <w:tc>
          <w:tcPr>
            <w:tcW w:w="660" w:type="dxa"/>
            <w:vAlign w:val="bottom"/>
            <w:tcBorders>
              <w:right w:val="single" w:sz="8" w:color="auto"/>
            </w:tcBorders>
          </w:tcPr>
          <w:p>
            <w:pPr>
              <w:spacing w:after="0"/>
              <w:rPr>
                <w:sz w:val="24"/>
                <w:szCs w:val="24"/>
                <w:color w:val="auto"/>
              </w:rPr>
            </w:pPr>
          </w:p>
        </w:tc>
        <w:tc>
          <w:tcPr>
            <w:tcW w:w="610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Die Auswirkungen der Kosten, die durch den Kauf und Verkauf der zugrunde liegenden Investitionen entstehen</w:t>
            </w:r>
          </w:p>
        </w:tc>
        <w:tc>
          <w:tcPr>
            <w:tcW w:w="0" w:type="dxa"/>
            <w:vAlign w:val="bottom"/>
          </w:tcPr>
          <w:p>
            <w:pPr>
              <w:spacing w:after="0"/>
              <w:rPr>
                <w:sz w:val="1"/>
                <w:szCs w:val="1"/>
                <w:color w:val="auto"/>
              </w:rPr>
            </w:pPr>
          </w:p>
        </w:tc>
      </w:tr>
      <w:tr>
        <w:trPr>
          <w:trHeight w:val="221"/>
        </w:trPr>
        <w:tc>
          <w:tcPr>
            <w:tcW w:w="110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anhaltend</w:t>
            </w: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Transaktionskosten</w:t>
            </w:r>
          </w:p>
        </w:tc>
        <w:tc>
          <w:tcPr>
            <w:tcW w:w="660" w:type="dxa"/>
            <w:vAlign w:val="bottom"/>
            <w:tcBorders>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5,20 %</w:t>
            </w:r>
          </w:p>
        </w:tc>
        <w:tc>
          <w:tcPr>
            <w:tcW w:w="610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Produkt</w:t>
            </w:r>
          </w:p>
        </w:tc>
        <w:tc>
          <w:tcPr>
            <w:tcW w:w="0" w:type="dxa"/>
            <w:vAlign w:val="bottom"/>
          </w:tcPr>
          <w:p>
            <w:pPr>
              <w:spacing w:after="0"/>
              <w:rPr>
                <w:sz w:val="1"/>
                <w:szCs w:val="1"/>
                <w:color w:val="auto"/>
              </w:rPr>
            </w:pPr>
          </w:p>
        </w:tc>
      </w:tr>
      <w:tr>
        <w:trPr>
          <w:trHeight w:val="170"/>
        </w:trPr>
        <w:tc>
          <w:tcPr>
            <w:tcW w:w="1100" w:type="dxa"/>
            <w:vAlign w:val="bottom"/>
            <w:tcBorders>
              <w:right w:val="single" w:sz="8" w:color="auto"/>
            </w:tcBorders>
            <w:vMerge w:val="continue"/>
          </w:tcPr>
          <w:p>
            <w:pPr>
              <w:spacing w:after="0"/>
              <w:rPr>
                <w:sz w:val="14"/>
                <w:szCs w:val="14"/>
                <w:color w:val="auto"/>
              </w:rPr>
            </w:pPr>
          </w:p>
        </w:tc>
        <w:tc>
          <w:tcPr>
            <w:tcW w:w="1720" w:type="dxa"/>
            <w:vAlign w:val="bottom"/>
            <w:tcBorders>
              <w:righ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6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w:t>
            </w:r>
          </w:p>
        </w:tc>
        <w:tc>
          <w:tcPr>
            <w:tcW w:w="172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6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1"/>
        </w:trPr>
        <w:tc>
          <w:tcPr>
            <w:tcW w:w="1100" w:type="dxa"/>
            <w:vAlign w:val="bottom"/>
            <w:tcBorders>
              <w:right w:val="single" w:sz="8" w:color="auto"/>
            </w:tcBorders>
          </w:tcPr>
          <w:p>
            <w:pPr>
              <w:spacing w:after="0"/>
              <w:rPr>
                <w:sz w:val="6"/>
                <w:szCs w:val="6"/>
                <w:color w:val="auto"/>
              </w:rPr>
            </w:pPr>
          </w:p>
        </w:tc>
        <w:tc>
          <w:tcPr>
            <w:tcW w:w="172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1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72"/>
        </w:trPr>
        <w:tc>
          <w:tcPr>
            <w:tcW w:w="1100" w:type="dxa"/>
            <w:vAlign w:val="bottom"/>
            <w:tcBorders>
              <w:right w:val="single" w:sz="8" w:color="auto"/>
            </w:tcBorders>
          </w:tcPr>
          <w:p>
            <w:pPr>
              <w:spacing w:after="0"/>
              <w:rPr>
                <w:sz w:val="23"/>
                <w:szCs w:val="23"/>
                <w:color w:val="auto"/>
              </w:rPr>
            </w:pP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Sonstige laufende</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0,99 %</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Die Auswirkungen der Kosten, die wir jedes Jahr für die Verwaltung Ihrer Investitionen in Anspruch nehmen</w:t>
            </w:r>
          </w:p>
        </w:tc>
        <w:tc>
          <w:tcPr>
            <w:tcW w:w="0" w:type="dxa"/>
            <w:vAlign w:val="bottom"/>
          </w:tcPr>
          <w:p>
            <w:pPr>
              <w:spacing w:after="0"/>
              <w:rPr>
                <w:sz w:val="1"/>
                <w:szCs w:val="1"/>
                <w:color w:val="auto"/>
              </w:rPr>
            </w:pPr>
          </w:p>
        </w:tc>
      </w:tr>
      <w:tr>
        <w:trPr>
          <w:trHeight w:val="110"/>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Kosten</w:t>
            </w: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0"/>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tcPr>
          <w:p>
            <w:pPr>
              <w:spacing w:after="0"/>
              <w:rPr>
                <w:sz w:val="9"/>
                <w:szCs w:val="9"/>
                <w:color w:val="auto"/>
              </w:rPr>
            </w:pPr>
          </w:p>
        </w:tc>
        <w:tc>
          <w:tcPr>
            <w:tcW w:w="6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72"/>
        </w:trPr>
        <w:tc>
          <w:tcPr>
            <w:tcW w:w="1100" w:type="dxa"/>
            <w:vAlign w:val="bottom"/>
            <w:tcBorders>
              <w:bottom w:val="single" w:sz="8" w:color="auto"/>
              <w:right w:val="single" w:sz="8" w:color="auto"/>
            </w:tcBorders>
          </w:tcPr>
          <w:p>
            <w:pPr>
              <w:spacing w:after="0"/>
              <w:rPr>
                <w:sz w:val="6"/>
                <w:szCs w:val="6"/>
                <w:color w:val="auto"/>
              </w:rPr>
            </w:pPr>
          </w:p>
        </w:tc>
        <w:tc>
          <w:tcPr>
            <w:tcW w:w="172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1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412"/>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beiläufig</w:t>
            </w:r>
          </w:p>
        </w:tc>
        <w:tc>
          <w:tcPr>
            <w:tcW w:w="172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Leistungsgebühr</w:t>
            </w:r>
          </w:p>
        </w:tc>
        <w:tc>
          <w:tcPr>
            <w:tcW w:w="660" w:type="dxa"/>
            <w:vAlign w:val="bottom"/>
            <w:tcBorders>
              <w:bottom w:val="single" w:sz="8" w:color="auto"/>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0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Es gibt keine Leistungsgebühr</w:t>
            </w:r>
          </w:p>
        </w:tc>
        <w:tc>
          <w:tcPr>
            <w:tcW w:w="0" w:type="dxa"/>
            <w:vAlign w:val="bottom"/>
          </w:tcPr>
          <w:p>
            <w:pPr>
              <w:spacing w:after="0"/>
              <w:rPr>
                <w:sz w:val="1"/>
                <w:szCs w:val="1"/>
                <w:color w:val="auto"/>
              </w:rPr>
            </w:pPr>
          </w:p>
        </w:tc>
      </w:tr>
      <w:tr>
        <w:trPr>
          <w:trHeight w:val="21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w:t>
            </w: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Carried Interests</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Es gibt keine Carried Interests</w:t>
            </w:r>
          </w:p>
        </w:tc>
        <w:tc>
          <w:tcPr>
            <w:tcW w:w="0" w:type="dxa"/>
            <w:vAlign w:val="bottom"/>
          </w:tcPr>
          <w:p>
            <w:pPr>
              <w:spacing w:after="0"/>
              <w:rPr>
                <w:sz w:val="1"/>
                <w:szCs w:val="1"/>
                <w:color w:val="auto"/>
              </w:rPr>
            </w:pPr>
          </w:p>
        </w:tc>
      </w:tr>
      <w:tr>
        <w:trPr>
          <w:trHeight w:val="106"/>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1100" w:type="dxa"/>
            <w:vAlign w:val="bottom"/>
            <w:tcBorders>
              <w:bottom w:val="single" w:sz="8" w:color="auto"/>
              <w:right w:val="single" w:sz="8" w:color="auto"/>
            </w:tcBorders>
          </w:tcPr>
          <w:p>
            <w:pPr>
              <w:spacing w:after="0"/>
              <w:rPr>
                <w:sz w:val="9"/>
                <w:szCs w:val="9"/>
                <w:color w:val="auto"/>
              </w:rPr>
            </w:pPr>
          </w:p>
        </w:tc>
        <w:tc>
          <w:tcPr>
            <w:tcW w:w="1720" w:type="dxa"/>
            <w:vAlign w:val="bottom"/>
            <w:tcBorders>
              <w:bottom w:val="single" w:sz="8" w:color="auto"/>
              <w:right w:val="single" w:sz="8" w:color="auto"/>
            </w:tcBorders>
          </w:tcPr>
          <w:p>
            <w:pPr>
              <w:spacing w:after="0"/>
              <w:rPr>
                <w:sz w:val="9"/>
                <w:szCs w:val="9"/>
                <w:color w:val="auto"/>
              </w:rPr>
            </w:pPr>
          </w:p>
        </w:tc>
        <w:tc>
          <w:tcPr>
            <w:tcW w:w="660" w:type="dxa"/>
            <w:vAlign w:val="bottom"/>
            <w:tcBorders>
              <w:bottom w:val="single" w:sz="8" w:color="auto"/>
              <w:right w:val="single" w:sz="8" w:color="auto"/>
            </w:tcBorders>
          </w:tcPr>
          <w:p>
            <w:pPr>
              <w:spacing w:after="0"/>
              <w:rPr>
                <w:sz w:val="9"/>
                <w:szCs w:val="9"/>
                <w:color w:val="auto"/>
              </w:rPr>
            </w:pPr>
          </w:p>
        </w:tc>
        <w:tc>
          <w:tcPr>
            <w:tcW w:w="6100" w:type="dxa"/>
            <w:vAlign w:val="bottom"/>
            <w:tcBorders>
              <w:bottom w:val="single" w:sz="8" w:color="auto"/>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140335</wp:posOffset>
            </wp:positionV>
            <wp:extent cx="6071235" cy="2286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256"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Wie lange sollte ich das Produkt halten und kann ich mein Geld frühzeitig abheben?</w:t>
      </w:r>
    </w:p>
    <w:p>
      <w:pPr>
        <w:spacing w:after="0" w:line="15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Empfohlene Haltedauer: Ein (1) Tag</w:t>
      </w:r>
    </w:p>
    <w:p>
      <w:pPr>
        <w:spacing w:after="0" w:line="38" w:lineRule="exact"/>
        <w:rPr>
          <w:sz w:val="20"/>
          <w:szCs w:val="20"/>
          <w:color w:val="auto"/>
        </w:rPr>
      </w:pPr>
    </w:p>
    <w:p>
      <w:pPr xmlns:w="http://schemas.openxmlformats.org/wordprocessingml/2006/main">
        <w:ind w:left="100" w:right="540"/>
        <w:spacing w:after="0" w:line="295" w:lineRule="auto"/>
        <w:rPr>
          <w:sz w:val="20"/>
          <w:szCs w:val="20"/>
          <w:color w:val="auto"/>
        </w:rPr>
      </w:pPr>
      <w:r>
        <w:rPr xmlns:w="http://schemas.openxmlformats.org/wordprocessingml/2006/main">
          <w:rFonts w:ascii="Arial" w:cs="Arial" w:eastAsia="Arial" w:hAnsi="Arial"/>
          <w:sz w:val="18"/>
          <w:szCs w:val="18"/>
          <w:color w:val="auto"/>
        </w:rPr>
        <w:t xml:space="preserve">Das Halten dieses Produkts für mehr als einen Tag führt wahrscheinlich zu einer Rendite, die sich von der -3-fachen Rendite der zugrunde liegenden Aktie während dieses Haltezeitraums unterscheidet.</w:t>
      </w:r>
      <w:r>
        <w:rPr xmlns:w="http://schemas.openxmlformats.org/wordprocessingml/2006/main">
          <w:rFonts w:ascii="Arial" w:cs="Arial" w:eastAsia="Arial" w:hAnsi="Arial"/>
          <w:sz w:val="18"/>
          <w:szCs w:val="18"/>
          <w:color w:val="auto"/>
        </w:rPr>
        <w:t xml:space="preserve"> Der Zusammentreffen kann positive oder negative Auswirkungen auf die Rendite des Produkts haben, hat jedoch tendenziell negative Auswirkungen, je höher die Volatilität des Basiswerts ist.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53340</wp:posOffset>
            </wp:positionV>
            <wp:extent cx="6071235" cy="2286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Wie kann ich mich beschweren?</w:t>
      </w:r>
    </w:p>
    <w:p>
      <w:pPr>
        <w:spacing w:after="0" w:line="158" w:lineRule="exact"/>
        <w:rPr>
          <w:sz w:val="20"/>
          <w:szCs w:val="20"/>
          <w:color w:val="auto"/>
        </w:rPr>
      </w:pPr>
    </w:p>
    <w:p>
      <w:pPr xmlns:w="http://schemas.openxmlformats.org/wordprocessingml/2006/main">
        <w:ind w:left="100" w:right="660"/>
        <w:spacing w:after="0" w:line="315" w:lineRule="auto"/>
        <w:rPr>
          <w:sz w:val="20"/>
          <w:szCs w:val="20"/>
          <w:color w:val="auto"/>
        </w:rPr>
      </w:pPr>
      <w:r>
        <w:rPr xmlns:w="http://schemas.openxmlformats.org/wordprocessingml/2006/main">
          <w:rFonts w:ascii="Arial" w:cs="Arial" w:eastAsia="Arial" w:hAnsi="Arial"/>
          <w:sz w:val="18"/>
          <w:szCs w:val="18"/>
          <w:color w:val="auto"/>
        </w:rPr>
        <w:t xml:space="preserve">Beschwerden über das Produkt, das Verhalten von GraniteShares und/oder die Person, die über das Produkt berät oder es verkauft, können eingereicht werden:</w:t>
      </w:r>
    </w:p>
    <w:p>
      <w:pPr>
        <w:spacing w:after="0" w:line="52" w:lineRule="exact"/>
        <w:rPr>
          <w:sz w:val="20"/>
          <w:szCs w:val="20"/>
          <w:color w:val="auto"/>
        </w:rPr>
      </w:pPr>
    </w:p>
    <w:p>
      <w:pPr xmlns:w="http://schemas.openxmlformats.org/wordprocessingml/2006/main">
        <w:ind w:left="920" w:hanging="368"/>
        <w:spacing w:after="0"/>
        <w:tabs>
          <w:tab w:leader="none" w:pos="92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schriftlich: GraniteShares Ltd., Aldwych House, 71-91 Aldwych, London WC2B 4HN</w:t>
      </w:r>
    </w:p>
    <w:p>
      <w:pPr>
        <w:spacing w:after="0" w:line="11" w:lineRule="exact"/>
        <w:rPr>
          <w:rFonts w:ascii="Arial" w:cs="Arial" w:eastAsia="Arial" w:hAnsi="Arial"/>
          <w:sz w:val="18"/>
          <w:szCs w:val="18"/>
          <w:color w:val="auto"/>
        </w:rPr>
      </w:pPr>
    </w:p>
    <w:p>
      <w:pPr xmlns:w="http://schemas.openxmlformats.org/wordprocessingml/2006/main">
        <w:ind w:left="920" w:hanging="368"/>
        <w:spacing w:after="0"/>
        <w:tabs>
          <w:tab w:leader="none" w:pos="92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per E-Mail: europe@graniteshares.com; oder</w:t>
      </w:r>
    </w:p>
    <w:p>
      <w:pPr>
        <w:spacing w:after="0" w:line="28" w:lineRule="exact"/>
        <w:rPr>
          <w:rFonts w:ascii="Arial" w:cs="Arial" w:eastAsia="Arial" w:hAnsi="Arial"/>
          <w:sz w:val="18"/>
          <w:szCs w:val="18"/>
          <w:color w:val="auto"/>
        </w:rPr>
      </w:pPr>
    </w:p>
    <w:p>
      <w:pPr xmlns:w="http://schemas.openxmlformats.org/wordprocessingml/2006/main">
        <w:ind w:left="900" w:hanging="353"/>
        <w:spacing w:after="0"/>
        <w:tabs>
          <w:tab w:leader="none" w:pos="90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auf unserer Website: https://www.graniteshares.com/ETPs</w:t>
      </w:r>
    </w:p>
    <w:p>
      <w:pPr>
        <w:spacing w:after="0" w:line="101" w:lineRule="exact"/>
        <w:rPr>
          <w:sz w:val="20"/>
          <w:szCs w:val="20"/>
          <w:color w:val="auto"/>
        </w:rPr>
      </w:pPr>
    </w:p>
    <w:p>
      <w:pPr xmlns:w="http://schemas.openxmlformats.org/wordprocessingml/2006/main">
        <w:ind w:left="100" w:right="80"/>
        <w:spacing w:after="0" w:line="315" w:lineRule="auto"/>
        <w:rPr>
          <w:sz w:val="20"/>
          <w:szCs w:val="20"/>
          <w:color w:val="auto"/>
        </w:rPr>
      </w:pPr>
      <w:r>
        <w:rPr xmlns:w="http://schemas.openxmlformats.org/wordprocessingml/2006/main">
          <w:rFonts w:ascii="Arial" w:cs="Arial" w:eastAsia="Arial" w:hAnsi="Arial"/>
          <w:sz w:val="18"/>
          <w:szCs w:val="18"/>
          <w:color w:val="auto"/>
        </w:rPr>
        <w:t xml:space="preserve">Bitte geben Sie so viele Details wie möglich über Ihre Beschwerde, zusammen mit Ihrem Namen, Adresse, Kontaktnummer und eine günstige Zeit für uns, um Sie anzurufen, um Ihre Beschwerde zu besprechen.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4445</wp:posOffset>
            </wp:positionV>
            <wp:extent cx="6071235" cy="2286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41"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Sonstige relevante Informationen</w:t>
      </w:r>
    </w:p>
    <w:p>
      <w:pPr>
        <w:spacing w:after="0" w:line="158" w:lineRule="exact"/>
        <w:rPr>
          <w:sz w:val="20"/>
          <w:szCs w:val="20"/>
          <w:color w:val="auto"/>
        </w:rPr>
      </w:pPr>
    </w:p>
    <w:p>
      <w:pPr xmlns:w="http://schemas.openxmlformats.org/wordprocessingml/2006/main">
        <w:ind w:left="100" w:right="300"/>
        <w:spacing w:after="0" w:line="291" w:lineRule="auto"/>
        <w:rPr>
          <w:sz w:val="20"/>
          <w:szCs w:val="20"/>
          <w:color w:val="auto"/>
        </w:rPr>
      </w:pPr>
      <w:r>
        <w:rPr xmlns:w="http://schemas.openxmlformats.org/wordprocessingml/2006/main">
          <w:rFonts w:ascii="Arial" w:cs="Arial" w:eastAsia="Arial" w:hAnsi="Arial"/>
          <w:sz w:val="18"/>
          <w:szCs w:val="18"/>
          <w:color w:val="auto"/>
        </w:rPr>
        <w:t xml:space="preserve">Die in diesem Dokument dargelegten Risiken heben einige, aber nicht alle, der Risiken der Investition in dieses Produkt hervor.</w:t>
      </w:r>
      <w:r>
        <w:rPr xmlns:w="http://schemas.openxmlformats.org/wordprocessingml/2006/main">
          <w:rFonts w:ascii="Arial" w:cs="Arial" w:eastAsia="Arial" w:hAnsi="Arial"/>
          <w:sz w:val="18"/>
          <w:szCs w:val="18"/>
          <w:color w:val="auto"/>
        </w:rPr>
        <w:t xml:space="preserve"> Bevor Sie eine Anlageentscheidung treffen, sollten Sie sich davon überzeugen, dass Sie die mit diesem Produkt verbundenen Risiken vollständig verstehen und sich bei Bedarf professionell beraten lassen.</w:t>
      </w:r>
      <w:r>
        <w:rPr xmlns:w="http://schemas.openxmlformats.org/wordprocessingml/2006/main">
          <w:rFonts w:ascii="Arial" w:cs="Arial" w:eastAsia="Arial" w:hAnsi="Arial"/>
          <w:sz w:val="18"/>
          <w:szCs w:val="18"/>
          <w:color w:val="auto"/>
        </w:rPr>
        <w:t xml:space="preserve"> Die vollständigen Bedingungen des Produkts sind im Prospekt für die Emission des Produkts in der jeweils ergänzten und geänderten Fassung enthalten.</w:t>
      </w:r>
      <w:r>
        <w:rPr xmlns:w="http://schemas.openxmlformats.org/wordprocessingml/2006/main">
          <w:rFonts w:ascii="Arial" w:cs="Arial" w:eastAsia="Arial" w:hAnsi="Arial"/>
          <w:sz w:val="18"/>
          <w:szCs w:val="18"/>
          <w:color w:val="auto"/>
        </w:rPr>
        <w:t xml:space="preserve"> Den Prospekt finden Sie hier: https://www.graniteshares.com/ETPs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100" w:type="dxa"/>
        <w:tblCellMar>
          <w:top w:w="0" w:type="dxa"/>
          <w:left w:w="0" w:type="dxa"/>
          <w:bottom w:w="0" w:type="dxa"/>
          <w:right w:w="0" w:type="dxa"/>
        </w:tblCellMar>
      </w:tblPr>
      <w:tr>
        <w:trPr>
          <w:trHeight w:val="33"/>
        </w:trPr>
        <w:tc>
          <w:tcPr>
            <w:tcW w:w="5960" w:type="dxa"/>
            <w:vAlign w:val="bottom"/>
            <w:tcBorders>
              <w:bottom w:val="single" w:sz="8" w:color="969696"/>
            </w:tcBorders>
          </w:tcPr>
          <w:p>
            <w:pPr>
              <w:spacing w:after="0"/>
              <w:rPr>
                <w:sz w:val="2"/>
                <w:szCs w:val="2"/>
                <w:color w:val="auto"/>
              </w:rPr>
            </w:pPr>
          </w:p>
        </w:tc>
        <w:tc>
          <w:tcPr>
            <w:tcW w:w="2400" w:type="dxa"/>
            <w:vAlign w:val="bottom"/>
            <w:tcBorders>
              <w:bottom w:val="single" w:sz="8" w:color="969696"/>
            </w:tcBorders>
          </w:tcPr>
          <w:p>
            <w:pPr>
              <w:spacing w:after="0"/>
              <w:rPr>
                <w:sz w:val="2"/>
                <w:szCs w:val="2"/>
                <w:color w:val="auto"/>
              </w:rPr>
            </w:pPr>
          </w:p>
        </w:tc>
        <w:tc>
          <w:tcPr>
            <w:tcW w:w="1140" w:type="dxa"/>
            <w:vAlign w:val="bottom"/>
            <w:tcBorders>
              <w:bottom w:val="single" w:sz="8" w:color="969696"/>
            </w:tcBorders>
          </w:tcPr>
          <w:p>
            <w:pPr>
              <w:spacing w:after="0"/>
              <w:rPr>
                <w:sz w:val="2"/>
                <w:szCs w:val="2"/>
                <w:color w:val="auto"/>
              </w:rPr>
            </w:pPr>
          </w:p>
        </w:tc>
      </w:tr>
      <w:tr>
        <w:trPr>
          <w:trHeight w:val="239"/>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w:t>
            </w:r>
            <w:r>
              <w:rPr xmlns:w="http://schemas.openxmlformats.org/wordprocessingml/2006/main">
                <w:rFonts w:ascii="Arial" w:cs="Arial" w:eastAsia="Arial" w:hAnsi="Arial"/>
                <w:sz w:val="16"/>
                <w:szCs w:val="16"/>
                <w:color w:val="auto"/>
              </w:rPr>
              <w:t xml:space="preserve"> Stock</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40" w:type="dxa"/>
            <w:vAlign w:val="bottom"/>
          </w:tcPr>
          <w:p>
            <w:pPr>
              <w:spacing w:after="0"/>
              <w:rPr>
                <w:sz w:val="20"/>
                <w:szCs w:val="20"/>
                <w:color w:val="auto"/>
              </w:rPr>
            </w:pPr>
          </w:p>
        </w:tc>
      </w:tr>
      <w:tr>
        <w:trPr>
          <w:trHeight w:val="218"/>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167-169 Great Portland St</w:t>
            </w:r>
          </w:p>
        </w:tc>
        <w:tc>
          <w:tcPr>
            <w:tcW w:w="2400" w:type="dxa"/>
            <w:vAlign w:val="bottom"/>
          </w:tcPr>
          <w:p>
            <w:pPr xmlns:w="http://schemas.openxmlformats.org/wordprocessingml/2006/main">
              <w:jc w:val="right"/>
              <w:ind w:right="60"/>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40" w:type="dxa"/>
            <w:vAlign w:val="bottom"/>
          </w:tcPr>
          <w:p>
            <w:pPr>
              <w:spacing w:after="0"/>
              <w:rPr>
                <w:sz w:val="18"/>
                <w:szCs w:val="18"/>
                <w:color w:val="auto"/>
              </w:rPr>
            </w:pPr>
          </w:p>
        </w:tc>
      </w:tr>
      <w:tr>
        <w:trPr>
          <w:trHeight w:val="241"/>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London W1W 5PF</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40" w:type="dxa"/>
            <w:vAlign w:val="bottom"/>
          </w:tcPr>
          <w:p>
            <w:pPr>
              <w:spacing w:after="0"/>
              <w:rPr>
                <w:sz w:val="20"/>
                <w:szCs w:val="20"/>
                <w:color w:val="auto"/>
              </w:rPr>
            </w:pPr>
          </w:p>
        </w:tc>
      </w:tr>
      <w:tr>
        <w:trPr>
          <w:trHeight w:val="249"/>
        </w:trPr>
        <w:tc>
          <w:tcPr>
            <w:tcW w:w="596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140" w:type="dxa"/>
            <w:vAlign w:val="bottom"/>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5348605</wp:posOffset>
            </wp:positionH>
            <wp:positionV relativeFrom="paragraph">
              <wp:posOffset>-524510</wp:posOffset>
            </wp:positionV>
            <wp:extent cx="814705" cy="4997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sectPr>
      <w:pgSz w:w="12240" w:h="16037" w:orient="portrait"/>
      <w:cols w:equalWidth="0" w:num="1">
        <w:col w:w="9580"/>
      </w:cols>
      <w:pgMar w:left="1340" w:top="559" w:right="1320" w:bottom="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alibri Light">
    <w:panose1 w:val="020F0302020204030204"/>
    <w:charset w:val="00"/>
    <w:family w:val="swiss"/>
    <w:pitch w:val="variable"/>
    <w:sig w:usb0="A00002EF" w:usb1="4000207B" w:usb2="00000000" w:usb3="00000000" w:csb0="2000019F" w:csb1="00000000"/>
  </w:font>
</w:fonts>
</file>

<file path=word/numbering.xml><?xml version="1.0" encoding="utf-8"?>
<w:numbering xmlns:w="http://schemas.openxmlformats.org/wordprocessingml/2006/main">
  <w:abstractNum w:abstractNumId="0">
    <w:nsid w:val="4FBC7EF4"/>
    <w:multiLevelType w:val="hybridMultilevel"/>
    <w:lvl w:ilvl="0">
      <w:lvlJc w:val="left"/>
      <w:lvlText w:val="-"/>
      <w:numFmt w:val="bullet"/>
      <w:start w:val="1"/>
    </w:lvl>
  </w:abstractNum>
  <w:abstractNum w:abstractNumId="1">
    <w:nsid w:val="176DA2ED"/>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9" Type="http://schemas.openxmlformats.org/officeDocument/2006/relationships/image" Target="media/image7.jpeg"/><Relationship Id="rId20" Type="http://schemas.openxmlformats.org/officeDocument/2006/relationships/image" Target="media/image8.jpe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jpeg"/><Relationship Id="rId27" Type="http://schemas.openxmlformats.org/officeDocument/2006/relationships/image" Target="media/image15.jpe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jpeg"/><Relationship Id="rId18" Type="http://schemas.openxmlformats.org/officeDocument/2006/relationships/hyperlink" Target="mailto:europe@graniteshares.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2023-05-01T08:43:30Z</dcterms:created>
  <dcterms:modified xsi:type="dcterms:W3CDTF">2023-05-01T08:43:30Z</dcterms:modified>
</cp:coreProperties>
</file>